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2B2F"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380"/>
      </w:tblGrid>
      <w:tr w:rsidR="00224CB3" w:rsidRPr="00975B07" w14:paraId="4D7C3A30" w14:textId="77777777" w:rsidTr="00224CB3">
        <w:trPr>
          <w:trHeight w:val="414"/>
        </w:trPr>
        <w:tc>
          <w:tcPr>
            <w:tcW w:w="2438" w:type="dxa"/>
            <w:shd w:val="clear" w:color="auto" w:fill="auto"/>
          </w:tcPr>
          <w:p w14:paraId="7660839C" w14:textId="77777777" w:rsidR="00224CB3" w:rsidRPr="00975B07" w:rsidRDefault="00224CB3" w:rsidP="004A6D2F">
            <w:pPr>
              <w:rPr>
                <w:rStyle w:val="Firstpagetablebold"/>
              </w:rPr>
            </w:pPr>
            <w:r w:rsidRPr="00975B07">
              <w:rPr>
                <w:rStyle w:val="Firstpagetablebold"/>
              </w:rPr>
              <w:t>To:</w:t>
            </w:r>
          </w:p>
        </w:tc>
        <w:tc>
          <w:tcPr>
            <w:tcW w:w="6380" w:type="dxa"/>
            <w:shd w:val="clear" w:color="auto" w:fill="auto"/>
          </w:tcPr>
          <w:p w14:paraId="655E0F87" w14:textId="77777777" w:rsidR="00224CB3" w:rsidRPr="00F95BC9" w:rsidRDefault="00224CB3" w:rsidP="004A6D2F">
            <w:pPr>
              <w:rPr>
                <w:rStyle w:val="Firstpagetablebold"/>
              </w:rPr>
            </w:pPr>
            <w:r>
              <w:rPr>
                <w:rStyle w:val="Firstpagetablebold"/>
              </w:rPr>
              <w:t>Cabinet</w:t>
            </w:r>
          </w:p>
        </w:tc>
      </w:tr>
      <w:tr w:rsidR="00224CB3" w:rsidRPr="00975B07" w14:paraId="3F9F6608" w14:textId="77777777" w:rsidTr="00224CB3">
        <w:tc>
          <w:tcPr>
            <w:tcW w:w="2438" w:type="dxa"/>
            <w:shd w:val="clear" w:color="auto" w:fill="auto"/>
          </w:tcPr>
          <w:p w14:paraId="2F3756A7" w14:textId="293D94AF" w:rsidR="00224CB3" w:rsidRPr="00975B07" w:rsidRDefault="00224CB3" w:rsidP="004A6D2F">
            <w:pPr>
              <w:rPr>
                <w:rStyle w:val="Firstpagetablebold"/>
              </w:rPr>
            </w:pPr>
            <w:r>
              <w:rPr>
                <w:rStyle w:val="Firstpagetablebold"/>
              </w:rPr>
              <w:t>Date:</w:t>
            </w:r>
          </w:p>
        </w:tc>
        <w:tc>
          <w:tcPr>
            <w:tcW w:w="6380" w:type="dxa"/>
            <w:shd w:val="clear" w:color="auto" w:fill="auto"/>
          </w:tcPr>
          <w:p w14:paraId="7904142A" w14:textId="6B52F74B" w:rsidR="00224CB3" w:rsidRDefault="00224CB3" w:rsidP="004A6D2F">
            <w:pPr>
              <w:rPr>
                <w:rStyle w:val="Firstpagetablebold"/>
              </w:rPr>
            </w:pPr>
            <w:r>
              <w:rPr>
                <w:rStyle w:val="Firstpagetablebold"/>
              </w:rPr>
              <w:t>22 January 2025</w:t>
            </w:r>
          </w:p>
        </w:tc>
      </w:tr>
      <w:tr w:rsidR="00CE544A" w:rsidRPr="00975B07" w14:paraId="5F81569C" w14:textId="77777777" w:rsidTr="00224CB3">
        <w:tc>
          <w:tcPr>
            <w:tcW w:w="2438" w:type="dxa"/>
            <w:shd w:val="clear" w:color="auto" w:fill="auto"/>
          </w:tcPr>
          <w:p w14:paraId="4B3B086B"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380" w:type="dxa"/>
            <w:shd w:val="clear" w:color="auto" w:fill="auto"/>
          </w:tcPr>
          <w:p w14:paraId="32BEDF17" w14:textId="15974682" w:rsidR="00F445B1" w:rsidRPr="001356F1" w:rsidRDefault="000B3A73" w:rsidP="004A6D2F">
            <w:pPr>
              <w:rPr>
                <w:rStyle w:val="Firstpagetablebold"/>
              </w:rPr>
            </w:pPr>
            <w:r>
              <w:rPr>
                <w:rStyle w:val="Firstpagetablebold"/>
              </w:rPr>
              <w:t>Head of Financial Services</w:t>
            </w:r>
          </w:p>
        </w:tc>
      </w:tr>
      <w:tr w:rsidR="00CE544A" w:rsidRPr="00975B07" w14:paraId="1E4BDBA7" w14:textId="77777777" w:rsidTr="00224CB3">
        <w:tc>
          <w:tcPr>
            <w:tcW w:w="2438" w:type="dxa"/>
            <w:shd w:val="clear" w:color="auto" w:fill="auto"/>
          </w:tcPr>
          <w:p w14:paraId="7FE49607" w14:textId="77777777" w:rsidR="00F445B1" w:rsidRPr="00975B07" w:rsidRDefault="00F445B1" w:rsidP="004A6D2F">
            <w:pPr>
              <w:rPr>
                <w:rStyle w:val="Firstpagetablebold"/>
              </w:rPr>
            </w:pPr>
            <w:r w:rsidRPr="00975B07">
              <w:rPr>
                <w:rStyle w:val="Firstpagetablebold"/>
              </w:rPr>
              <w:t xml:space="preserve">Title of Report: </w:t>
            </w:r>
          </w:p>
        </w:tc>
        <w:tc>
          <w:tcPr>
            <w:tcW w:w="6380" w:type="dxa"/>
            <w:shd w:val="clear" w:color="auto" w:fill="auto"/>
          </w:tcPr>
          <w:p w14:paraId="7F5C984E" w14:textId="29B68D65" w:rsidR="00F445B1" w:rsidRPr="001356F1" w:rsidRDefault="003D0C33" w:rsidP="004A6D2F">
            <w:pPr>
              <w:rPr>
                <w:rStyle w:val="Firstpagetablebold"/>
              </w:rPr>
            </w:pPr>
            <w:r w:rsidRPr="003D0C33">
              <w:rPr>
                <w:rStyle w:val="Firstpagetablebold"/>
              </w:rPr>
              <w:t>Housing Revenue Account (HRA) Rent Setting Report 202</w:t>
            </w:r>
            <w:r w:rsidR="005373A7">
              <w:rPr>
                <w:rStyle w:val="Firstpagetablebold"/>
              </w:rPr>
              <w:t>5</w:t>
            </w:r>
            <w:r w:rsidRPr="003D0C33">
              <w:rPr>
                <w:rStyle w:val="Firstpagetablebold"/>
              </w:rPr>
              <w:t>/2</w:t>
            </w:r>
            <w:r w:rsidR="005373A7">
              <w:rPr>
                <w:rStyle w:val="Firstpagetablebold"/>
              </w:rPr>
              <w:t>6</w:t>
            </w:r>
          </w:p>
        </w:tc>
      </w:tr>
    </w:tbl>
    <w:p w14:paraId="6C146FE6" w14:textId="77777777" w:rsidR="00AB52C7" w:rsidRDefault="00AB52C7"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14131D50" w14:textId="77777777" w:rsidTr="0080749A">
        <w:tc>
          <w:tcPr>
            <w:tcW w:w="8845" w:type="dxa"/>
            <w:gridSpan w:val="2"/>
            <w:tcBorders>
              <w:bottom w:val="single" w:sz="8" w:space="0" w:color="000000"/>
            </w:tcBorders>
            <w:hideMark/>
          </w:tcPr>
          <w:p w14:paraId="43C5BDE7"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C540610" w14:textId="77777777" w:rsidTr="0080749A">
        <w:tc>
          <w:tcPr>
            <w:tcW w:w="2438" w:type="dxa"/>
            <w:tcBorders>
              <w:top w:val="single" w:sz="8" w:space="0" w:color="000000"/>
              <w:left w:val="single" w:sz="8" w:space="0" w:color="000000"/>
              <w:bottom w:val="nil"/>
              <w:right w:val="nil"/>
            </w:tcBorders>
            <w:hideMark/>
          </w:tcPr>
          <w:p w14:paraId="3C584A19"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21F783A" w14:textId="35F61DDB" w:rsidR="00D5547E" w:rsidRPr="001356F1" w:rsidRDefault="00887936" w:rsidP="008B71CF">
            <w:r>
              <w:t>To present the outcome of Oxford City Council’s (the council’s) annual rent review and associated rent setting proposal for 202</w:t>
            </w:r>
            <w:r w:rsidR="005373A7">
              <w:t>5</w:t>
            </w:r>
            <w:r>
              <w:t>/2</w:t>
            </w:r>
            <w:r w:rsidR="005373A7">
              <w:t>6</w:t>
            </w:r>
            <w:r>
              <w:t xml:space="preserve"> in respect of all council dwellings within the Housing Revenue Account, including the setting of associated services and facilities charges</w:t>
            </w:r>
          </w:p>
        </w:tc>
      </w:tr>
      <w:tr w:rsidR="00D5547E" w14:paraId="2B5E5416" w14:textId="77777777" w:rsidTr="0080749A">
        <w:tc>
          <w:tcPr>
            <w:tcW w:w="2438" w:type="dxa"/>
            <w:tcBorders>
              <w:top w:val="nil"/>
              <w:left w:val="single" w:sz="8" w:space="0" w:color="000000"/>
              <w:bottom w:val="nil"/>
              <w:right w:val="nil"/>
            </w:tcBorders>
            <w:hideMark/>
          </w:tcPr>
          <w:p w14:paraId="2E79681C"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029BBAEA" w14:textId="293E4BDF" w:rsidR="00D5547E" w:rsidRPr="001356F1" w:rsidRDefault="0069683E" w:rsidP="005F7F7E">
            <w:r>
              <w:t>No</w:t>
            </w:r>
          </w:p>
        </w:tc>
      </w:tr>
      <w:tr w:rsidR="00D5547E" w14:paraId="14B23DD5" w14:textId="77777777" w:rsidTr="0080749A">
        <w:tc>
          <w:tcPr>
            <w:tcW w:w="2438" w:type="dxa"/>
            <w:tcBorders>
              <w:top w:val="nil"/>
              <w:left w:val="single" w:sz="8" w:space="0" w:color="000000"/>
              <w:bottom w:val="nil"/>
              <w:right w:val="nil"/>
            </w:tcBorders>
            <w:hideMark/>
          </w:tcPr>
          <w:p w14:paraId="5CCCA8DC"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621E151E" w14:textId="77777777" w:rsidR="00BC0565" w:rsidRDefault="008A286F" w:rsidP="00BC0565">
            <w:r>
              <w:t xml:space="preserve">Councillor Ed Turner, </w:t>
            </w:r>
            <w:r w:rsidR="00E72693">
              <w:t xml:space="preserve">Deputy Leader and </w:t>
            </w:r>
            <w:r w:rsidRPr="008A286F">
              <w:t>Cabinet Member for Finance and Asset Management</w:t>
            </w:r>
            <w:r w:rsidR="00BC0565" w:rsidRPr="008A286F">
              <w:t xml:space="preserve"> </w:t>
            </w:r>
          </w:p>
          <w:p w14:paraId="7B3174A8" w14:textId="69BF11E3" w:rsidR="00BC0565" w:rsidRDefault="00BC0565" w:rsidP="00BC0565">
            <w:r w:rsidRPr="008A286F">
              <w:t>Councillor Linda Smith, Cabinet</w:t>
            </w:r>
            <w:r>
              <w:t xml:space="preserve"> Member for Housing</w:t>
            </w:r>
          </w:p>
          <w:p w14:paraId="3276DABC" w14:textId="33555BA6" w:rsidR="008A286F" w:rsidRPr="001356F1" w:rsidRDefault="008A286F" w:rsidP="005F7F7E"/>
        </w:tc>
      </w:tr>
      <w:tr w:rsidR="00D5547E" w14:paraId="172EFF68" w14:textId="77777777" w:rsidTr="0097170F">
        <w:tc>
          <w:tcPr>
            <w:tcW w:w="2438" w:type="dxa"/>
            <w:tcBorders>
              <w:top w:val="nil"/>
              <w:left w:val="single" w:sz="8" w:space="0" w:color="000000"/>
              <w:bottom w:val="single" w:sz="4" w:space="0" w:color="auto"/>
              <w:right w:val="nil"/>
            </w:tcBorders>
            <w:hideMark/>
          </w:tcPr>
          <w:p w14:paraId="100A2852"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cBorders>
            <w:hideMark/>
          </w:tcPr>
          <w:p w14:paraId="70B97E4B" w14:textId="256805FF" w:rsidR="00D5547E" w:rsidRPr="001356F1" w:rsidRDefault="00215443" w:rsidP="005F7F7E">
            <w:r w:rsidRPr="00215443">
              <w:t xml:space="preserve">The </w:t>
            </w:r>
            <w:r w:rsidR="00E72693">
              <w:t>rent setting</w:t>
            </w:r>
            <w:r w:rsidRPr="00215443">
              <w:t xml:space="preserve"> </w:t>
            </w:r>
            <w:r w:rsidR="00E72693">
              <w:t>forms part of</w:t>
            </w:r>
            <w:r w:rsidRPr="00215443">
              <w:t xml:space="preserve"> </w:t>
            </w:r>
            <w:r w:rsidR="00E72693">
              <w:t>the</w:t>
            </w:r>
            <w:r w:rsidRPr="00215443">
              <w:t xml:space="preserve"> Budget and Policy Framework document</w:t>
            </w:r>
          </w:p>
        </w:tc>
      </w:tr>
    </w:tbl>
    <w:p w14:paraId="0108EB83" w14:textId="77777777" w:rsidR="00CE544A" w:rsidRDefault="00CE544A" w:rsidP="004A6D2F"/>
    <w:p w14:paraId="27409182" w14:textId="77777777" w:rsidR="00AB52C7" w:rsidRDefault="00AB52C7"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7CC0A3C9" w14:textId="77777777" w:rsidTr="0B365A31">
        <w:trPr>
          <w:trHeight w:val="413"/>
        </w:trPr>
        <w:tc>
          <w:tcPr>
            <w:tcW w:w="8845" w:type="dxa"/>
            <w:gridSpan w:val="2"/>
            <w:tcBorders>
              <w:bottom w:val="single" w:sz="8" w:space="0" w:color="000000" w:themeColor="text1"/>
            </w:tcBorders>
          </w:tcPr>
          <w:p w14:paraId="4E3FB2F1" w14:textId="737B9162" w:rsidR="0097170F" w:rsidRPr="00975B07" w:rsidRDefault="0097170F" w:rsidP="00B50576">
            <w:r>
              <w:rPr>
                <w:rStyle w:val="Firstpagetablebold"/>
              </w:rPr>
              <w:t>Recommendation(s</w:t>
            </w:r>
            <w:r w:rsidR="001D3DFA">
              <w:rPr>
                <w:rStyle w:val="Firstpagetablebold"/>
              </w:rPr>
              <w:t>):</w:t>
            </w:r>
            <w:r w:rsidR="001D3DFA" w:rsidRPr="008954DF">
              <w:rPr>
                <w:rStyle w:val="Firstpagetablebold"/>
                <w:b w:val="0"/>
              </w:rPr>
              <w:t xml:space="preserve"> That</w:t>
            </w:r>
            <w:r w:rsidRPr="008954DF">
              <w:rPr>
                <w:rStyle w:val="Firstpagetablebold"/>
                <w:b w:val="0"/>
              </w:rPr>
              <w:t xml:space="preserve"> Cabinet resolves to:</w:t>
            </w:r>
          </w:p>
        </w:tc>
      </w:tr>
      <w:tr w:rsidR="0097170F" w:rsidRPr="005373A7" w14:paraId="4B14B22F" w14:textId="77777777" w:rsidTr="0B365A31">
        <w:trPr>
          <w:trHeight w:val="283"/>
        </w:trPr>
        <w:tc>
          <w:tcPr>
            <w:tcW w:w="426" w:type="dxa"/>
            <w:tcBorders>
              <w:top w:val="single" w:sz="8" w:space="0" w:color="000000" w:themeColor="text1"/>
              <w:left w:val="single" w:sz="8" w:space="0" w:color="000000" w:themeColor="text1"/>
              <w:bottom w:val="nil"/>
              <w:right w:val="nil"/>
            </w:tcBorders>
          </w:tcPr>
          <w:p w14:paraId="05585254" w14:textId="77777777" w:rsidR="0097170F" w:rsidRPr="009337AF" w:rsidRDefault="0097170F" w:rsidP="00B50576">
            <w:r w:rsidRPr="009337AF">
              <w:t>1.</w:t>
            </w:r>
          </w:p>
        </w:tc>
        <w:tc>
          <w:tcPr>
            <w:tcW w:w="8419" w:type="dxa"/>
            <w:tcBorders>
              <w:top w:val="single" w:sz="8" w:space="0" w:color="000000" w:themeColor="text1"/>
              <w:left w:val="nil"/>
              <w:bottom w:val="nil"/>
              <w:right w:val="single" w:sz="8" w:space="0" w:color="000000" w:themeColor="text1"/>
            </w:tcBorders>
            <w:shd w:val="clear" w:color="auto" w:fill="auto"/>
          </w:tcPr>
          <w:p w14:paraId="285B212E" w14:textId="12C3FFBB" w:rsidR="0097170F" w:rsidRPr="009337AF" w:rsidRDefault="005D12A5" w:rsidP="0027627B">
            <w:pPr>
              <w:jc w:val="both"/>
            </w:pPr>
            <w:r w:rsidRPr="009337AF">
              <w:rPr>
                <w:rStyle w:val="Firstpagetablebold"/>
                <w:b w:val="0"/>
                <w:bCs/>
              </w:rPr>
              <w:t>Recommend</w:t>
            </w:r>
            <w:r w:rsidR="00141CF7" w:rsidRPr="009337AF">
              <w:rPr>
                <w:rStyle w:val="Firstpagetablebold"/>
                <w:b w:val="0"/>
                <w:bCs/>
              </w:rPr>
              <w:t xml:space="preserve"> </w:t>
            </w:r>
            <w:r w:rsidR="00E66726" w:rsidRPr="009337AF">
              <w:rPr>
                <w:rStyle w:val="Firstpagetablebold"/>
                <w:b w:val="0"/>
                <w:bCs/>
              </w:rPr>
              <w:t>C</w:t>
            </w:r>
            <w:r w:rsidR="00141CF7" w:rsidRPr="009337AF">
              <w:rPr>
                <w:rStyle w:val="Firstpagetablebold"/>
                <w:b w:val="0"/>
                <w:bCs/>
              </w:rPr>
              <w:t xml:space="preserve">ouncil </w:t>
            </w:r>
            <w:r w:rsidR="00841760" w:rsidRPr="009337AF">
              <w:rPr>
                <w:rStyle w:val="Firstpagetablebold"/>
                <w:b w:val="0"/>
                <w:bCs/>
              </w:rPr>
              <w:t xml:space="preserve">to </w:t>
            </w:r>
            <w:r w:rsidR="00141CF7" w:rsidRPr="009337AF">
              <w:rPr>
                <w:rStyle w:val="Firstpagetablebold"/>
                <w:b w:val="0"/>
                <w:bCs/>
              </w:rPr>
              <w:t>approv</w:t>
            </w:r>
            <w:r w:rsidR="00BF02D1" w:rsidRPr="009337AF">
              <w:rPr>
                <w:rStyle w:val="Firstpagetablebold"/>
                <w:b w:val="0"/>
                <w:bCs/>
              </w:rPr>
              <w:t>e</w:t>
            </w:r>
            <w:r w:rsidR="00D310E5" w:rsidRPr="009337AF">
              <w:rPr>
                <w:rStyle w:val="Firstpagetablebold"/>
                <w:b w:val="0"/>
                <w:bCs/>
              </w:rPr>
              <w:t xml:space="preserve"> </w:t>
            </w:r>
            <w:r w:rsidR="00103C5A" w:rsidRPr="009337AF">
              <w:rPr>
                <w:rStyle w:val="Firstpagetablebold"/>
                <w:b w:val="0"/>
                <w:bCs/>
              </w:rPr>
              <w:t>a</w:t>
            </w:r>
            <w:r w:rsidR="007A4262" w:rsidRPr="009337AF">
              <w:rPr>
                <w:rStyle w:val="Firstpagetablebold"/>
                <w:b w:val="0"/>
                <w:bCs/>
              </w:rPr>
              <w:t xml:space="preserve">n </w:t>
            </w:r>
            <w:r w:rsidR="00FA7754" w:rsidRPr="009337AF">
              <w:rPr>
                <w:rStyle w:val="Firstpagetablebold"/>
                <w:b w:val="0"/>
                <w:bCs/>
              </w:rPr>
              <w:t>increase</w:t>
            </w:r>
            <w:r w:rsidR="00A445CF" w:rsidRPr="009337AF">
              <w:rPr>
                <w:rStyle w:val="Firstpagetablebold"/>
                <w:b w:val="0"/>
                <w:bCs/>
              </w:rPr>
              <w:t xml:space="preserve"> of</w:t>
            </w:r>
            <w:r w:rsidR="007A4262" w:rsidRPr="009337AF">
              <w:rPr>
                <w:rStyle w:val="Firstpagetablebold"/>
                <w:b w:val="0"/>
                <w:bCs/>
              </w:rPr>
              <w:t xml:space="preserve"> </w:t>
            </w:r>
            <w:r w:rsidR="00DC5C4B">
              <w:rPr>
                <w:rStyle w:val="Firstpagetablebold"/>
                <w:b w:val="0"/>
                <w:bCs/>
              </w:rPr>
              <w:t>2</w:t>
            </w:r>
            <w:r w:rsidR="00DC5C4B" w:rsidRPr="00A36580">
              <w:rPr>
                <w:rStyle w:val="Firstpagetablebold"/>
                <w:b w:val="0"/>
                <w:bCs/>
              </w:rPr>
              <w:t>.7</w:t>
            </w:r>
            <w:r w:rsidR="00A445CF" w:rsidRPr="00A36580">
              <w:rPr>
                <w:rStyle w:val="Firstpagetablebold"/>
                <w:b w:val="0"/>
                <w:bCs/>
              </w:rPr>
              <w:t>%</w:t>
            </w:r>
            <w:r w:rsidR="00963B60" w:rsidRPr="00A36580">
              <w:rPr>
                <w:rStyle w:val="Firstpagetablebold"/>
                <w:b w:val="0"/>
                <w:bCs/>
              </w:rPr>
              <w:t xml:space="preserve"> </w:t>
            </w:r>
            <w:r w:rsidR="00103C5A" w:rsidRPr="00A36580">
              <w:rPr>
                <w:rStyle w:val="Firstpagetablebold"/>
                <w:b w:val="0"/>
                <w:bCs/>
              </w:rPr>
              <w:t>for</w:t>
            </w:r>
            <w:r w:rsidR="00103C5A" w:rsidRPr="009337AF">
              <w:rPr>
                <w:rStyle w:val="Firstpagetablebold"/>
                <w:b w:val="0"/>
                <w:bCs/>
              </w:rPr>
              <w:t xml:space="preserve"> 202</w:t>
            </w:r>
            <w:r w:rsidR="009337AF">
              <w:rPr>
                <w:rStyle w:val="Firstpagetablebold"/>
                <w:b w:val="0"/>
                <w:bCs/>
              </w:rPr>
              <w:t>5</w:t>
            </w:r>
            <w:r w:rsidR="00103C5A" w:rsidRPr="009337AF">
              <w:rPr>
                <w:rStyle w:val="Firstpagetablebold"/>
                <w:b w:val="0"/>
                <w:bCs/>
              </w:rPr>
              <w:t>/2</w:t>
            </w:r>
            <w:r w:rsidR="009337AF">
              <w:rPr>
                <w:rStyle w:val="Firstpagetablebold"/>
                <w:b w:val="0"/>
                <w:bCs/>
              </w:rPr>
              <w:t>6</w:t>
            </w:r>
            <w:r w:rsidR="00103C5A" w:rsidRPr="009337AF">
              <w:rPr>
                <w:rStyle w:val="Firstpagetablebold"/>
                <w:b w:val="0"/>
                <w:bCs/>
              </w:rPr>
              <w:t xml:space="preserve"> </w:t>
            </w:r>
            <w:r w:rsidR="00963B60" w:rsidRPr="009337AF">
              <w:rPr>
                <w:rStyle w:val="Firstpagetablebold"/>
                <w:b w:val="0"/>
                <w:bCs/>
              </w:rPr>
              <w:t>(</w:t>
            </w:r>
            <w:r w:rsidR="00301C78" w:rsidRPr="009337AF">
              <w:rPr>
                <w:rStyle w:val="Firstpagetablebold"/>
                <w:b w:val="0"/>
                <w:bCs/>
              </w:rPr>
              <w:t xml:space="preserve">subject to </w:t>
            </w:r>
            <w:r w:rsidR="005049AF" w:rsidRPr="009337AF">
              <w:rPr>
                <w:rStyle w:val="Firstpagetablebold"/>
                <w:b w:val="0"/>
                <w:bCs/>
              </w:rPr>
              <w:t xml:space="preserve">any </w:t>
            </w:r>
            <w:r w:rsidR="009D7332" w:rsidRPr="009337AF">
              <w:rPr>
                <w:rStyle w:val="Firstpagetablebold"/>
                <w:b w:val="0"/>
                <w:bCs/>
              </w:rPr>
              <w:t xml:space="preserve">subsequent </w:t>
            </w:r>
            <w:r w:rsidR="005049AF" w:rsidRPr="009337AF">
              <w:rPr>
                <w:rStyle w:val="Firstpagetablebold"/>
                <w:b w:val="0"/>
                <w:bCs/>
              </w:rPr>
              <w:t xml:space="preserve">cap on increases </w:t>
            </w:r>
            <w:r w:rsidR="00C47F06" w:rsidRPr="009337AF">
              <w:rPr>
                <w:rStyle w:val="Firstpagetablebold"/>
                <w:b w:val="0"/>
                <w:bCs/>
              </w:rPr>
              <w:t>imposed by central government</w:t>
            </w:r>
            <w:r w:rsidR="00963B60" w:rsidRPr="009337AF">
              <w:rPr>
                <w:rStyle w:val="Firstpagetablebold"/>
                <w:b w:val="0"/>
                <w:bCs/>
              </w:rPr>
              <w:t>)</w:t>
            </w:r>
            <w:r w:rsidR="00614E1D" w:rsidRPr="009337AF">
              <w:rPr>
                <w:rStyle w:val="Firstpagetablebold"/>
                <w:b w:val="0"/>
                <w:bCs/>
              </w:rPr>
              <w:t xml:space="preserve"> in social dwelling rents </w:t>
            </w:r>
            <w:r w:rsidR="00516D81" w:rsidRPr="009337AF">
              <w:rPr>
                <w:rStyle w:val="Firstpagetablebold"/>
                <w:b w:val="0"/>
                <w:bCs/>
              </w:rPr>
              <w:t>from 1</w:t>
            </w:r>
            <w:r w:rsidR="00516D81" w:rsidRPr="009337AF">
              <w:rPr>
                <w:rStyle w:val="Firstpagetablebold"/>
                <w:b w:val="0"/>
                <w:bCs/>
                <w:vertAlign w:val="superscript"/>
              </w:rPr>
              <w:t>st</w:t>
            </w:r>
            <w:r w:rsidR="00516D81" w:rsidRPr="009337AF">
              <w:rPr>
                <w:rStyle w:val="Firstpagetablebold"/>
                <w:b w:val="0"/>
                <w:bCs/>
              </w:rPr>
              <w:t xml:space="preserve"> April 202</w:t>
            </w:r>
            <w:r w:rsidR="009337AF">
              <w:rPr>
                <w:rStyle w:val="Firstpagetablebold"/>
                <w:b w:val="0"/>
                <w:bCs/>
              </w:rPr>
              <w:t>5</w:t>
            </w:r>
            <w:r w:rsidR="00516D81" w:rsidRPr="009337AF">
              <w:rPr>
                <w:rStyle w:val="Firstpagetablebold"/>
                <w:b w:val="0"/>
                <w:bCs/>
              </w:rPr>
              <w:t xml:space="preserve"> </w:t>
            </w:r>
            <w:r w:rsidR="00DA19A1" w:rsidRPr="009337AF">
              <w:rPr>
                <w:rStyle w:val="Firstpagetablebold"/>
                <w:b w:val="0"/>
                <w:bCs/>
              </w:rPr>
              <w:t>giving a</w:t>
            </w:r>
            <w:r w:rsidR="00526583" w:rsidRPr="009337AF">
              <w:rPr>
                <w:rStyle w:val="Firstpagetablebold"/>
                <w:b w:val="0"/>
                <w:bCs/>
              </w:rPr>
              <w:t xml:space="preserve">n average weekly </w:t>
            </w:r>
            <w:r w:rsidR="00526583" w:rsidRPr="00202CEE">
              <w:rPr>
                <w:rStyle w:val="Firstpagetablebold"/>
                <w:b w:val="0"/>
                <w:bCs/>
              </w:rPr>
              <w:t>increase of £</w:t>
            </w:r>
            <w:r w:rsidR="00B52C3A" w:rsidRPr="00202CEE">
              <w:rPr>
                <w:rStyle w:val="Firstpagetablebold"/>
                <w:b w:val="0"/>
                <w:bCs/>
              </w:rPr>
              <w:t>3.</w:t>
            </w:r>
            <w:r w:rsidR="00926531" w:rsidRPr="00202CEE">
              <w:rPr>
                <w:rStyle w:val="Firstpagetablebold"/>
                <w:b w:val="0"/>
                <w:bCs/>
              </w:rPr>
              <w:t>51</w:t>
            </w:r>
            <w:r w:rsidR="00526583" w:rsidRPr="00202CEE">
              <w:rPr>
                <w:rStyle w:val="Firstpagetablebold"/>
                <w:b w:val="0"/>
                <w:bCs/>
              </w:rPr>
              <w:t xml:space="preserve"> per week</w:t>
            </w:r>
            <w:r w:rsidR="00301C78" w:rsidRPr="00202CEE">
              <w:rPr>
                <w:rStyle w:val="Firstpagetablebold"/>
                <w:b w:val="0"/>
                <w:bCs/>
              </w:rPr>
              <w:t>, and a</w:t>
            </w:r>
            <w:r w:rsidR="00DA19A1" w:rsidRPr="00202CEE">
              <w:rPr>
                <w:rStyle w:val="Firstpagetablebold"/>
                <w:b w:val="0"/>
                <w:bCs/>
              </w:rPr>
              <w:t xml:space="preserve"> revised weekly average social rent of £</w:t>
            </w:r>
            <w:r w:rsidR="00DD1BE6" w:rsidRPr="00202CEE">
              <w:rPr>
                <w:rStyle w:val="Firstpagetablebold"/>
                <w:b w:val="0"/>
                <w:bCs/>
              </w:rPr>
              <w:t>1</w:t>
            </w:r>
            <w:r w:rsidR="00B52C3A" w:rsidRPr="00202CEE">
              <w:rPr>
                <w:rStyle w:val="Firstpagetablebold"/>
                <w:b w:val="0"/>
                <w:bCs/>
              </w:rPr>
              <w:t>33</w:t>
            </w:r>
            <w:r w:rsidR="00DD1BE6" w:rsidRPr="00202CEE">
              <w:rPr>
                <w:rStyle w:val="Firstpagetablebold"/>
                <w:b w:val="0"/>
                <w:bCs/>
              </w:rPr>
              <w:t>.</w:t>
            </w:r>
            <w:r w:rsidR="00202CEE" w:rsidRPr="00202CEE">
              <w:rPr>
                <w:rStyle w:val="Firstpagetablebold"/>
                <w:b w:val="0"/>
                <w:bCs/>
              </w:rPr>
              <w:t>68</w:t>
            </w:r>
            <w:r w:rsidR="00DB3A47" w:rsidRPr="00202CEE">
              <w:rPr>
                <w:rStyle w:val="Firstpagetablebold"/>
                <w:b w:val="0"/>
                <w:bCs/>
              </w:rPr>
              <w:t xml:space="preserve"> as set out in </w:t>
            </w:r>
            <w:r w:rsidR="00A4195C" w:rsidRPr="00202CEE">
              <w:rPr>
                <w:rStyle w:val="Firstpagetablebold"/>
                <w:b w:val="0"/>
                <w:bCs/>
              </w:rPr>
              <w:t>the Financial Implications section of this report.</w:t>
            </w:r>
          </w:p>
        </w:tc>
      </w:tr>
      <w:tr w:rsidR="0097170F" w:rsidRPr="005373A7" w14:paraId="150EE403" w14:textId="77777777" w:rsidTr="0B365A31">
        <w:trPr>
          <w:trHeight w:val="283"/>
        </w:trPr>
        <w:tc>
          <w:tcPr>
            <w:tcW w:w="426" w:type="dxa"/>
            <w:tcBorders>
              <w:top w:val="nil"/>
              <w:left w:val="single" w:sz="8" w:space="0" w:color="000000" w:themeColor="text1"/>
              <w:bottom w:val="nil"/>
              <w:right w:val="nil"/>
            </w:tcBorders>
          </w:tcPr>
          <w:p w14:paraId="7404920F" w14:textId="2A8D6A40" w:rsidR="0097170F" w:rsidRPr="003C22FA" w:rsidRDefault="00FB686D" w:rsidP="00B50576">
            <w:r w:rsidRPr="003C22FA">
              <w:t>2.</w:t>
            </w:r>
          </w:p>
        </w:tc>
        <w:tc>
          <w:tcPr>
            <w:tcW w:w="8419" w:type="dxa"/>
            <w:tcBorders>
              <w:top w:val="nil"/>
              <w:left w:val="nil"/>
              <w:bottom w:val="nil"/>
              <w:right w:val="single" w:sz="8" w:space="0" w:color="000000" w:themeColor="text1"/>
            </w:tcBorders>
            <w:shd w:val="clear" w:color="auto" w:fill="auto"/>
          </w:tcPr>
          <w:p w14:paraId="6E64333F" w14:textId="62241980" w:rsidR="0097170F" w:rsidRPr="003C22FA" w:rsidRDefault="00141CF7" w:rsidP="0027627B">
            <w:pPr>
              <w:jc w:val="both"/>
            </w:pPr>
            <w:r w:rsidRPr="003C22FA">
              <w:t>Recommend</w:t>
            </w:r>
            <w:r w:rsidR="00E66726" w:rsidRPr="003C22FA">
              <w:t xml:space="preserve"> C</w:t>
            </w:r>
            <w:r w:rsidR="00644BC3" w:rsidRPr="003C22FA">
              <w:t>ouncil</w:t>
            </w:r>
            <w:r w:rsidR="00841760" w:rsidRPr="003C22FA">
              <w:t xml:space="preserve"> to</w:t>
            </w:r>
            <w:r w:rsidR="00644BC3" w:rsidRPr="003C22FA">
              <w:t xml:space="preserve"> a</w:t>
            </w:r>
            <w:r w:rsidR="006D07D2" w:rsidRPr="003C22FA">
              <w:t xml:space="preserve">pprove </w:t>
            </w:r>
            <w:r w:rsidR="00644BC3" w:rsidRPr="003C22FA">
              <w:t>an</w:t>
            </w:r>
            <w:r w:rsidR="007C663C" w:rsidRPr="003C22FA">
              <w:t xml:space="preserve"> increase to rents for shared ownership dwellings as </w:t>
            </w:r>
            <w:r w:rsidR="006D32CB" w:rsidRPr="003C22FA">
              <w:t>outlined</w:t>
            </w:r>
            <w:r w:rsidR="007C663C" w:rsidRPr="003C22FA">
              <w:t xml:space="preserve"> in paragraph </w:t>
            </w:r>
            <w:r w:rsidR="000C702A">
              <w:t>21</w:t>
            </w:r>
            <w:r w:rsidR="00284C3B" w:rsidRPr="003C22FA">
              <w:t xml:space="preserve"> of the Financial Implications</w:t>
            </w:r>
            <w:r w:rsidR="0091637D" w:rsidRPr="003C22FA">
              <w:t>.</w:t>
            </w:r>
          </w:p>
        </w:tc>
      </w:tr>
      <w:tr w:rsidR="0097170F" w:rsidRPr="005373A7" w14:paraId="7AA17FBF" w14:textId="77777777" w:rsidTr="0B365A31">
        <w:trPr>
          <w:trHeight w:val="283"/>
        </w:trPr>
        <w:tc>
          <w:tcPr>
            <w:tcW w:w="426" w:type="dxa"/>
            <w:tcBorders>
              <w:top w:val="nil"/>
              <w:left w:val="single" w:sz="8" w:space="0" w:color="000000" w:themeColor="text1"/>
              <w:bottom w:val="nil"/>
              <w:right w:val="nil"/>
            </w:tcBorders>
          </w:tcPr>
          <w:p w14:paraId="774DFEC2" w14:textId="5A2BB080" w:rsidR="0097170F" w:rsidRPr="003C22FA" w:rsidRDefault="00B72DEC" w:rsidP="00B50576">
            <w:r w:rsidRPr="003C22FA">
              <w:t>3.</w:t>
            </w:r>
          </w:p>
        </w:tc>
        <w:tc>
          <w:tcPr>
            <w:tcW w:w="8419" w:type="dxa"/>
            <w:tcBorders>
              <w:top w:val="nil"/>
              <w:left w:val="nil"/>
              <w:bottom w:val="nil"/>
              <w:right w:val="single" w:sz="8" w:space="0" w:color="000000" w:themeColor="text1"/>
            </w:tcBorders>
            <w:shd w:val="clear" w:color="auto" w:fill="auto"/>
          </w:tcPr>
          <w:p w14:paraId="0633571C" w14:textId="28B2CBB6" w:rsidR="00EF5F43" w:rsidRPr="003C22FA" w:rsidRDefault="00B72DEC" w:rsidP="00A56542">
            <w:pPr>
              <w:jc w:val="both"/>
            </w:pPr>
            <w:r w:rsidRPr="003C22FA">
              <w:t xml:space="preserve">Recommend </w:t>
            </w:r>
            <w:r w:rsidR="00E66726" w:rsidRPr="003C22FA">
              <w:t>C</w:t>
            </w:r>
            <w:r w:rsidRPr="003C22FA">
              <w:t>ouncil to approve an increase to service charges</w:t>
            </w:r>
            <w:r w:rsidR="0005722A" w:rsidRPr="003C22FA">
              <w:t xml:space="preserve"> </w:t>
            </w:r>
            <w:r w:rsidR="00F77853" w:rsidRPr="003C22FA">
              <w:t xml:space="preserve">by </w:t>
            </w:r>
            <w:r w:rsidR="00A36580">
              <w:t>2.7%</w:t>
            </w:r>
            <w:r w:rsidR="00F77853" w:rsidRPr="003C22FA">
              <w:t xml:space="preserve"> (</w:t>
            </w:r>
            <w:r w:rsidR="00A743E6" w:rsidRPr="003C22FA">
              <w:t>CPI + 1%</w:t>
            </w:r>
            <w:r w:rsidR="00F77853" w:rsidRPr="003C22FA">
              <w:t>)</w:t>
            </w:r>
            <w:r w:rsidR="005A1848" w:rsidRPr="003C22FA">
              <w:t xml:space="preserve"> </w:t>
            </w:r>
            <w:r w:rsidR="00F77853" w:rsidRPr="003C22FA">
              <w:t>to</w:t>
            </w:r>
            <w:r w:rsidR="0005722A" w:rsidRPr="003C22FA">
              <w:t xml:space="preserve"> </w:t>
            </w:r>
            <w:r w:rsidR="008D7BD3" w:rsidRPr="003C22FA">
              <w:t xml:space="preserve">enable </w:t>
            </w:r>
            <w:r w:rsidR="0005722A" w:rsidRPr="003C22FA">
              <w:t xml:space="preserve">the </w:t>
            </w:r>
            <w:r w:rsidR="00FD5D61" w:rsidRPr="003C22FA">
              <w:t>HRA</w:t>
            </w:r>
            <w:r w:rsidR="008D7BD3" w:rsidRPr="003C22FA">
              <w:t xml:space="preserve"> to recover the associated cost of supply</w:t>
            </w:r>
            <w:r w:rsidR="00EF5F43" w:rsidRPr="003C22FA">
              <w:t>.</w:t>
            </w:r>
          </w:p>
        </w:tc>
      </w:tr>
      <w:tr w:rsidR="00EF5F43" w:rsidRPr="005373A7" w14:paraId="111A6C27" w14:textId="77777777" w:rsidTr="00893653">
        <w:trPr>
          <w:trHeight w:val="283"/>
        </w:trPr>
        <w:tc>
          <w:tcPr>
            <w:tcW w:w="426" w:type="dxa"/>
            <w:tcBorders>
              <w:top w:val="nil"/>
              <w:left w:val="single" w:sz="8" w:space="0" w:color="000000" w:themeColor="text1"/>
              <w:bottom w:val="single" w:sz="8" w:space="0" w:color="000000"/>
              <w:right w:val="nil"/>
            </w:tcBorders>
          </w:tcPr>
          <w:p w14:paraId="20AEB388" w14:textId="0996FE79" w:rsidR="00EF5F43" w:rsidRPr="00926531" w:rsidRDefault="00EF5F43" w:rsidP="00EF5F43">
            <w:r w:rsidRPr="00926531">
              <w:lastRenderedPageBreak/>
              <w:t>4.</w:t>
            </w:r>
          </w:p>
        </w:tc>
        <w:tc>
          <w:tcPr>
            <w:tcW w:w="8419" w:type="dxa"/>
            <w:tcBorders>
              <w:top w:val="nil"/>
              <w:left w:val="nil"/>
              <w:bottom w:val="single" w:sz="8" w:space="0" w:color="000000"/>
              <w:right w:val="single" w:sz="8" w:space="0" w:color="000000" w:themeColor="text1"/>
            </w:tcBorders>
            <w:shd w:val="clear" w:color="auto" w:fill="auto"/>
          </w:tcPr>
          <w:p w14:paraId="5608F177" w14:textId="77777777" w:rsidR="00EF5F43" w:rsidRDefault="00EF5F43" w:rsidP="00BE3EE5">
            <w:pPr>
              <w:jc w:val="both"/>
            </w:pPr>
            <w:r>
              <w:t xml:space="preserve">Recommend to council to approve an increase to </w:t>
            </w:r>
            <w:r w:rsidR="005B0C8B">
              <w:t xml:space="preserve">the charge for a </w:t>
            </w:r>
            <w:r>
              <w:t>garage</w:t>
            </w:r>
            <w:r w:rsidR="00C5297E">
              <w:t xml:space="preserve"> of </w:t>
            </w:r>
            <w:r w:rsidR="00403B5F">
              <w:t>4.1</w:t>
            </w:r>
            <w:r w:rsidR="00C5297E">
              <w:t xml:space="preserve">%, </w:t>
            </w:r>
            <w:r w:rsidR="00B80988">
              <w:t xml:space="preserve">equating </w:t>
            </w:r>
            <w:r w:rsidR="00305EB6">
              <w:t>to</w:t>
            </w:r>
            <w:r w:rsidR="002B1156">
              <w:t xml:space="preserve"> an increase of</w:t>
            </w:r>
            <w:r w:rsidR="00305EB6">
              <w:t xml:space="preserve"> £</w:t>
            </w:r>
            <w:r w:rsidR="008A434D">
              <w:t>0.</w:t>
            </w:r>
            <w:r w:rsidR="002A0100">
              <w:t>78</w:t>
            </w:r>
            <w:r w:rsidR="002B1156">
              <w:t xml:space="preserve"> per week</w:t>
            </w:r>
            <w:r w:rsidR="00672366">
              <w:t xml:space="preserve"> for a standard garage</w:t>
            </w:r>
            <w:r w:rsidR="005B71E8">
              <w:t xml:space="preserve"> within a </w:t>
            </w:r>
            <w:r w:rsidR="72CCE67A">
              <w:t>curtilage</w:t>
            </w:r>
            <w:r w:rsidR="00BB153A">
              <w:t xml:space="preserve"> with a </w:t>
            </w:r>
            <w:r w:rsidR="002212E5">
              <w:t>revised</w:t>
            </w:r>
            <w:r w:rsidR="00BB153A">
              <w:t xml:space="preserve"> charge</w:t>
            </w:r>
            <w:r w:rsidR="002212E5">
              <w:t xml:space="preserve"> of £</w:t>
            </w:r>
            <w:r w:rsidR="002A0100">
              <w:t>20.0</w:t>
            </w:r>
            <w:r w:rsidR="002212E5">
              <w:t>0 per week</w:t>
            </w:r>
            <w:r w:rsidR="00672366">
              <w:t>.</w:t>
            </w:r>
          </w:p>
          <w:p w14:paraId="692A26AB" w14:textId="776B5316" w:rsidR="00893653" w:rsidRPr="00926531" w:rsidRDefault="00893653" w:rsidP="00BE3EE5">
            <w:pPr>
              <w:jc w:val="both"/>
            </w:pPr>
          </w:p>
        </w:tc>
      </w:tr>
    </w:tbl>
    <w:p w14:paraId="77BE72B9" w14:textId="77777777" w:rsidR="009F32DD" w:rsidRPr="00893653" w:rsidRDefault="009F32DD" w:rsidP="001308DF">
      <w:pPr>
        <w:pStyle w:val="Heading1"/>
        <w:pBdr>
          <w:top w:val="single" w:sz="4" w:space="0" w:color="auto"/>
          <w:left w:val="single" w:sz="4" w:space="4" w:color="auto"/>
          <w:bottom w:val="single" w:sz="4" w:space="1" w:color="auto"/>
          <w:right w:val="single" w:sz="4" w:space="4" w:color="auto"/>
        </w:pBdr>
        <w:jc w:val="center"/>
      </w:pPr>
      <w:r w:rsidRPr="00893653">
        <w:t>Appendices to the report:</w:t>
      </w:r>
    </w:p>
    <w:p w14:paraId="205D12D7" w14:textId="348B68F7" w:rsidR="009F32DD" w:rsidRPr="00893653" w:rsidRDefault="009F32DD" w:rsidP="001308DF">
      <w:pPr>
        <w:pStyle w:val="bParagraphtext"/>
        <w:numPr>
          <w:ilvl w:val="0"/>
          <w:numId w:val="0"/>
        </w:numPr>
        <w:pBdr>
          <w:top w:val="single" w:sz="4" w:space="0" w:color="auto"/>
          <w:left w:val="single" w:sz="4" w:space="4" w:color="auto"/>
          <w:bottom w:val="single" w:sz="4" w:space="1" w:color="auto"/>
          <w:right w:val="single" w:sz="4" w:space="4" w:color="auto"/>
        </w:pBdr>
        <w:tabs>
          <w:tab w:val="clear" w:pos="426"/>
          <w:tab w:val="left" w:pos="1701"/>
        </w:tabs>
        <w:spacing w:after="0"/>
        <w:ind w:left="1701" w:hanging="1701"/>
      </w:pPr>
      <w:r w:rsidRPr="00893653">
        <w:rPr>
          <w:b/>
          <w:bCs/>
        </w:rPr>
        <w:t xml:space="preserve">Appendix </w:t>
      </w:r>
      <w:r w:rsidR="005E77EE" w:rsidRPr="00893653">
        <w:rPr>
          <w:b/>
          <w:bCs/>
        </w:rPr>
        <w:t>1</w:t>
      </w:r>
      <w:r w:rsidRPr="00893653">
        <w:tab/>
        <w:t xml:space="preserve">Housing Revenue Account Rent by </w:t>
      </w:r>
      <w:commentRangeStart w:id="0"/>
      <w:commentRangeStart w:id="1"/>
      <w:r w:rsidR="005E77EE" w:rsidRPr="00893653">
        <w:t>Ward</w:t>
      </w:r>
      <w:commentRangeEnd w:id="0"/>
      <w:r w:rsidRPr="00893653">
        <w:rPr>
          <w:rStyle w:val="CommentReference"/>
        </w:rPr>
        <w:commentReference w:id="0"/>
      </w:r>
      <w:commentRangeEnd w:id="1"/>
      <w:r w:rsidRPr="00893653">
        <w:rPr>
          <w:rStyle w:val="CommentReference"/>
        </w:rPr>
        <w:commentReference w:id="1"/>
      </w:r>
    </w:p>
    <w:p w14:paraId="34495D35" w14:textId="786A00E4" w:rsidR="006A3820" w:rsidRPr="00893653" w:rsidRDefault="006A3820" w:rsidP="001308DF">
      <w:pPr>
        <w:pStyle w:val="bParagraphtext"/>
        <w:numPr>
          <w:ilvl w:val="0"/>
          <w:numId w:val="0"/>
        </w:numPr>
        <w:pBdr>
          <w:top w:val="single" w:sz="4" w:space="0" w:color="auto"/>
          <w:left w:val="single" w:sz="4" w:space="4" w:color="auto"/>
          <w:bottom w:val="single" w:sz="4" w:space="1" w:color="auto"/>
          <w:right w:val="single" w:sz="4" w:space="4" w:color="auto"/>
        </w:pBdr>
        <w:tabs>
          <w:tab w:val="clear" w:pos="426"/>
          <w:tab w:val="left" w:pos="1701"/>
        </w:tabs>
        <w:spacing w:after="0"/>
        <w:ind w:left="1701" w:hanging="1701"/>
      </w:pPr>
      <w:r w:rsidRPr="00893653">
        <w:rPr>
          <w:b/>
        </w:rPr>
        <w:t>Appendix 2</w:t>
      </w:r>
      <w:r w:rsidRPr="00893653">
        <w:tab/>
      </w:r>
      <w:r w:rsidR="00F7464D" w:rsidRPr="00893653">
        <w:t xml:space="preserve">Risk and </w:t>
      </w:r>
      <w:r w:rsidRPr="00893653">
        <w:t xml:space="preserve">Equalities Assessment </w:t>
      </w:r>
    </w:p>
    <w:p w14:paraId="3D97746B" w14:textId="77777777" w:rsidR="009F32DD" w:rsidRPr="00811C66" w:rsidRDefault="009F32DD" w:rsidP="0027627B">
      <w:pPr>
        <w:pStyle w:val="Heading1"/>
        <w:jc w:val="both"/>
      </w:pPr>
    </w:p>
    <w:p w14:paraId="708B2EF2" w14:textId="197877C5" w:rsidR="0040736F" w:rsidRPr="00811C66" w:rsidRDefault="00F66DCA" w:rsidP="007A6558">
      <w:pPr>
        <w:pStyle w:val="Heading1"/>
        <w:ind w:left="340"/>
        <w:jc w:val="both"/>
      </w:pPr>
      <w:r w:rsidRPr="00811C66">
        <w:t>Introduction and b</w:t>
      </w:r>
      <w:r w:rsidR="00151888" w:rsidRPr="00811C66">
        <w:t>ackground</w:t>
      </w:r>
      <w:r w:rsidR="00404032" w:rsidRPr="00811C66">
        <w:t xml:space="preserve"> </w:t>
      </w:r>
    </w:p>
    <w:p w14:paraId="3C0445F4" w14:textId="3F586331" w:rsidR="008954DF" w:rsidRPr="00811C66" w:rsidRDefault="00CB2C9C" w:rsidP="007A6558">
      <w:pPr>
        <w:pStyle w:val="ListParagraph"/>
        <w:numPr>
          <w:ilvl w:val="0"/>
          <w:numId w:val="35"/>
        </w:numPr>
        <w:ind w:left="340"/>
        <w:jc w:val="both"/>
      </w:pPr>
      <w:r w:rsidRPr="00811C66">
        <w:t xml:space="preserve">On an annual basis, as part of the </w:t>
      </w:r>
      <w:r w:rsidR="00FB7E93" w:rsidRPr="00811C66">
        <w:t>Medium-Term</w:t>
      </w:r>
      <w:r w:rsidRPr="00811C66">
        <w:t xml:space="preserve"> Financial Plan (MTFP), the HRA sets the Rent for HRA tenants for the next financial year. The rent setting is governed by two </w:t>
      </w:r>
      <w:r w:rsidR="00177092" w:rsidRPr="00811C66">
        <w:t xml:space="preserve">national </w:t>
      </w:r>
      <w:r w:rsidRPr="00811C66">
        <w:t>documents – The Rent Standard, and the Rent Policy Statement</w:t>
      </w:r>
      <w:r w:rsidR="00760402" w:rsidRPr="00811C66">
        <w:t>.</w:t>
      </w:r>
    </w:p>
    <w:p w14:paraId="118B8B12" w14:textId="48D060A5" w:rsidR="00DE05BE" w:rsidRPr="00811C66" w:rsidRDefault="00DE05BE" w:rsidP="00DE05BE">
      <w:pPr>
        <w:pStyle w:val="ListParagraph"/>
        <w:numPr>
          <w:ilvl w:val="1"/>
          <w:numId w:val="35"/>
        </w:numPr>
        <w:jc w:val="both"/>
      </w:pPr>
      <w:r w:rsidRPr="00811C66">
        <w:rPr>
          <w:b/>
          <w:bCs/>
        </w:rPr>
        <w:t xml:space="preserve">The Rent Standard </w:t>
      </w:r>
      <w:r w:rsidR="003E5BBF" w:rsidRPr="00811C66">
        <w:rPr>
          <w:b/>
          <w:bCs/>
        </w:rPr>
        <w:t>states</w:t>
      </w:r>
      <w:r w:rsidR="00F32921" w:rsidRPr="00811C66">
        <w:rPr>
          <w:b/>
          <w:bCs/>
        </w:rPr>
        <w:t>:</w:t>
      </w:r>
      <w:r w:rsidR="00AF411E" w:rsidRPr="00811C66">
        <w:t xml:space="preserve"> </w:t>
      </w:r>
      <w:r w:rsidR="00AF411E" w:rsidRPr="00811C66">
        <w:rPr>
          <w:i/>
          <w:iCs/>
        </w:rPr>
        <w:t>Registered providers must comply in full with all the requirements and expectations set out in this Rent Standard. They must additionally comply with all the requirements and expectations of the Rent Policy Statement on the setting, increase and decrease of rents and service charges.</w:t>
      </w:r>
    </w:p>
    <w:p w14:paraId="65699434" w14:textId="579ED540" w:rsidR="00AF411E" w:rsidRPr="00811C66" w:rsidRDefault="00F32921" w:rsidP="00DE05BE">
      <w:pPr>
        <w:pStyle w:val="ListParagraph"/>
        <w:numPr>
          <w:ilvl w:val="1"/>
          <w:numId w:val="35"/>
        </w:numPr>
        <w:jc w:val="both"/>
      </w:pPr>
      <w:r w:rsidRPr="00811C66">
        <w:rPr>
          <w:b/>
          <w:bCs/>
        </w:rPr>
        <w:t>The Rent Policy</w:t>
      </w:r>
      <w:r w:rsidR="00554D00">
        <w:rPr>
          <w:b/>
          <w:bCs/>
        </w:rPr>
        <w:t xml:space="preserve"> Statement</w:t>
      </w:r>
      <w:r w:rsidRPr="00811C66">
        <w:rPr>
          <w:b/>
          <w:bCs/>
        </w:rPr>
        <w:t xml:space="preserve"> </w:t>
      </w:r>
      <w:r w:rsidR="008D126E" w:rsidRPr="00811C66">
        <w:rPr>
          <w:b/>
          <w:bCs/>
        </w:rPr>
        <w:t>defines</w:t>
      </w:r>
      <w:r w:rsidRPr="00811C66">
        <w:rPr>
          <w:b/>
          <w:bCs/>
        </w:rPr>
        <w:t>:</w:t>
      </w:r>
    </w:p>
    <w:p w14:paraId="6D0D981C" w14:textId="70C1CAC3" w:rsidR="00FF614F" w:rsidRPr="00811C66" w:rsidRDefault="00A4711D" w:rsidP="00CE4A0A">
      <w:pPr>
        <w:pStyle w:val="ListParagraph"/>
        <w:numPr>
          <w:ilvl w:val="2"/>
          <w:numId w:val="35"/>
        </w:numPr>
        <w:jc w:val="both"/>
        <w:rPr>
          <w:i/>
          <w:iCs/>
        </w:rPr>
      </w:pPr>
      <w:r w:rsidRPr="00811C66">
        <w:rPr>
          <w:b/>
          <w:bCs/>
          <w:i/>
          <w:iCs/>
        </w:rPr>
        <w:t>Weekly Formula Rent</w:t>
      </w:r>
      <w:r w:rsidRPr="00811C66">
        <w:rPr>
          <w:i/>
          <w:iCs/>
        </w:rPr>
        <w:t xml:space="preserve"> as 70% of the national average rent</w:t>
      </w:r>
      <w:r w:rsidR="00564EA5" w:rsidRPr="00811C66">
        <w:rPr>
          <w:i/>
          <w:iCs/>
        </w:rPr>
        <w:t>; m</w:t>
      </w:r>
      <w:r w:rsidRPr="00811C66">
        <w:rPr>
          <w:i/>
          <w:iCs/>
        </w:rPr>
        <w:t>ultiplied by relative county earnings</w:t>
      </w:r>
      <w:r w:rsidR="00564EA5" w:rsidRPr="00811C66">
        <w:rPr>
          <w:i/>
          <w:iCs/>
        </w:rPr>
        <w:t>; m</w:t>
      </w:r>
      <w:r w:rsidRPr="00811C66">
        <w:rPr>
          <w:i/>
          <w:iCs/>
        </w:rPr>
        <w:t>ultiplied by the bedroom weight</w:t>
      </w:r>
      <w:r w:rsidR="00564EA5" w:rsidRPr="00811C66">
        <w:rPr>
          <w:i/>
          <w:iCs/>
        </w:rPr>
        <w:t>;</w:t>
      </w:r>
      <w:r w:rsidRPr="00811C66">
        <w:rPr>
          <w:i/>
          <w:iCs/>
        </w:rPr>
        <w:t xml:space="preserve"> plus 30% of the national average rent</w:t>
      </w:r>
      <w:r w:rsidR="00D86D1F" w:rsidRPr="00811C66">
        <w:rPr>
          <w:i/>
          <w:iCs/>
        </w:rPr>
        <w:t>;</w:t>
      </w:r>
      <w:r w:rsidRPr="00811C66">
        <w:rPr>
          <w:i/>
          <w:iCs/>
        </w:rPr>
        <w:t xml:space="preserve"> multiplied by relative property value</w:t>
      </w:r>
      <w:r w:rsidR="00D86D1F" w:rsidRPr="00811C66">
        <w:rPr>
          <w:i/>
          <w:iCs/>
        </w:rPr>
        <w:t>.</w:t>
      </w:r>
    </w:p>
    <w:p w14:paraId="7B2A5B4A" w14:textId="26463CBA" w:rsidR="00D86D1F" w:rsidRPr="00811C66" w:rsidRDefault="00A81826" w:rsidP="00CE4A0A">
      <w:pPr>
        <w:pStyle w:val="ListParagraph"/>
        <w:numPr>
          <w:ilvl w:val="2"/>
          <w:numId w:val="35"/>
        </w:numPr>
        <w:jc w:val="both"/>
        <w:rPr>
          <w:i/>
          <w:iCs/>
        </w:rPr>
      </w:pPr>
      <w:r w:rsidRPr="00811C66">
        <w:rPr>
          <w:b/>
          <w:bCs/>
          <w:i/>
          <w:iCs/>
        </w:rPr>
        <w:t>Affordable Rent</w:t>
      </w:r>
      <w:r w:rsidRPr="00811C66">
        <w:rPr>
          <w:i/>
          <w:iCs/>
        </w:rPr>
        <w:t xml:space="preserve"> (inclusive of service charges) must not exceed 80% of gross market rent, where</w:t>
      </w:r>
      <w:r w:rsidR="004B17D8" w:rsidRPr="00811C66">
        <w:rPr>
          <w:i/>
          <w:iCs/>
        </w:rPr>
        <w:t xml:space="preserve"> </w:t>
      </w:r>
      <w:r w:rsidRPr="00811C66">
        <w:rPr>
          <w:i/>
          <w:iCs/>
        </w:rPr>
        <w:t>‘Gross market rent’ means the rent (inclusive of any applicable service charges) for which the accommodation might reasonably be expected to be let in the private rented sector. Property size, location type and service provision must be taken into account when determining what gross market rent a property might achieve if let in the private rented sector.</w:t>
      </w:r>
    </w:p>
    <w:p w14:paraId="791AD8F9" w14:textId="43B13E17" w:rsidR="005915BE" w:rsidRPr="008F7949" w:rsidRDefault="003F45E9" w:rsidP="00CE4A0A">
      <w:pPr>
        <w:pStyle w:val="ListParagraph"/>
        <w:numPr>
          <w:ilvl w:val="2"/>
          <w:numId w:val="35"/>
        </w:numPr>
        <w:jc w:val="both"/>
        <w:rPr>
          <w:i/>
          <w:iCs/>
        </w:rPr>
      </w:pPr>
      <w:r w:rsidRPr="00811C66">
        <w:rPr>
          <w:b/>
          <w:bCs/>
          <w:i/>
          <w:iCs/>
        </w:rPr>
        <w:t xml:space="preserve">Rent Flexibility Level </w:t>
      </w:r>
      <w:r w:rsidRPr="00811C66">
        <w:rPr>
          <w:i/>
          <w:iCs/>
        </w:rPr>
        <w:t xml:space="preserve">- The government’s policy recognises that registered providers should have some discretion over the rent set for individual properties, to take account of local factors and concerns, in consultation with tenants. As a result, the policy contains flexibility for registered providers to set rents at up to 5% above formula rent (10% for supported housing). If applying this flexibility, providers should ensure that there is a clear rationale for doing so which takes into account local </w:t>
      </w:r>
      <w:r w:rsidRPr="008F7949">
        <w:rPr>
          <w:i/>
          <w:iCs/>
        </w:rPr>
        <w:t>circumstances and affordability.</w:t>
      </w:r>
    </w:p>
    <w:p w14:paraId="7A8F34BD" w14:textId="77777777" w:rsidR="009B69BC" w:rsidRPr="008F7949" w:rsidRDefault="009B69BC" w:rsidP="007A6558">
      <w:pPr>
        <w:pStyle w:val="ListParagraph"/>
        <w:numPr>
          <w:ilvl w:val="0"/>
          <w:numId w:val="0"/>
        </w:numPr>
        <w:ind w:left="340"/>
        <w:jc w:val="both"/>
      </w:pPr>
    </w:p>
    <w:p w14:paraId="41F7206A" w14:textId="4AD1D6EC" w:rsidR="009B69BC" w:rsidRPr="008E4C7F" w:rsidRDefault="009F2E2E" w:rsidP="009B087C">
      <w:pPr>
        <w:ind w:left="426"/>
        <w:jc w:val="both"/>
      </w:pPr>
      <w:r>
        <w:t xml:space="preserve">The maximum increase in both types of rent </w:t>
      </w:r>
      <w:r w:rsidR="00EF73F0">
        <w:t xml:space="preserve">for 2025/26 </w:t>
      </w:r>
      <w:r>
        <w:t>is currently restricted to CPI + 1% (CPI as at September in the preceding year). The September 202</w:t>
      </w:r>
      <w:r w:rsidR="00FF5B53">
        <w:t>4</w:t>
      </w:r>
      <w:r>
        <w:t xml:space="preserve"> CPI rate was </w:t>
      </w:r>
      <w:r w:rsidR="00A36580">
        <w:t>1.7%,</w:t>
      </w:r>
      <w:r>
        <w:t xml:space="preserve"> giving a maximum increase of </w:t>
      </w:r>
      <w:r w:rsidR="00FF5B53">
        <w:t>2.7%</w:t>
      </w:r>
      <w:r>
        <w:t xml:space="preserve"> subject to any </w:t>
      </w:r>
      <w:r w:rsidR="00F760BC">
        <w:t xml:space="preserve">additional </w:t>
      </w:r>
      <w:r>
        <w:t>cap imposed by the government</w:t>
      </w:r>
      <w:r w:rsidR="00F760BC">
        <w:t xml:space="preserve">. </w:t>
      </w:r>
      <w:r w:rsidR="00463646" w:rsidRPr="24ED910F">
        <w:rPr>
          <w:i/>
          <w:iCs/>
        </w:rPr>
        <w:t>(</w:t>
      </w:r>
      <w:r w:rsidR="0006499F" w:rsidRPr="24ED910F">
        <w:rPr>
          <w:i/>
          <w:iCs/>
        </w:rPr>
        <w:t>Ref</w:t>
      </w:r>
      <w:r w:rsidR="003D3CE5" w:rsidRPr="24ED910F">
        <w:rPr>
          <w:i/>
          <w:iCs/>
        </w:rPr>
        <w:t>. GOV.UK Policy</w:t>
      </w:r>
      <w:r w:rsidR="00FB37FB" w:rsidRPr="24ED910F">
        <w:rPr>
          <w:i/>
          <w:iCs/>
        </w:rPr>
        <w:t xml:space="preserve"> Statement on Rents for Social </w:t>
      </w:r>
      <w:r w:rsidR="00407501" w:rsidRPr="24ED910F">
        <w:rPr>
          <w:i/>
          <w:iCs/>
        </w:rPr>
        <w:t>H</w:t>
      </w:r>
      <w:r w:rsidR="00FB37FB" w:rsidRPr="24ED910F">
        <w:rPr>
          <w:i/>
          <w:iCs/>
        </w:rPr>
        <w:t>ousing</w:t>
      </w:r>
      <w:r w:rsidR="003D3CE5" w:rsidRPr="24ED910F">
        <w:rPr>
          <w:i/>
          <w:iCs/>
        </w:rPr>
        <w:t>)</w:t>
      </w:r>
    </w:p>
    <w:p w14:paraId="23AAA34F" w14:textId="266BE80D" w:rsidR="00B21D69" w:rsidRPr="008E4C7F" w:rsidRDefault="00B21D69" w:rsidP="00CE4A0A">
      <w:pPr>
        <w:pStyle w:val="ListParagraph"/>
        <w:numPr>
          <w:ilvl w:val="0"/>
          <w:numId w:val="39"/>
        </w:numPr>
        <w:spacing w:after="0"/>
        <w:jc w:val="both"/>
      </w:pPr>
      <w:r w:rsidRPr="008E4C7F">
        <w:t>As well as the restriction on maximum increases, rents are also capped as follows:</w:t>
      </w:r>
    </w:p>
    <w:p w14:paraId="6447DEEB" w14:textId="67354D30" w:rsidR="00B21D69" w:rsidRPr="008F7949" w:rsidRDefault="00B21D69" w:rsidP="00ED6816">
      <w:pPr>
        <w:pStyle w:val="ListParagraph"/>
        <w:numPr>
          <w:ilvl w:val="1"/>
          <w:numId w:val="39"/>
        </w:numPr>
        <w:jc w:val="both"/>
      </w:pPr>
      <w:r w:rsidRPr="008E4C7F">
        <w:lastRenderedPageBreak/>
        <w:t xml:space="preserve">Social Rent – rent caps apply as a maximum ceiling on the formula rent and depend on the size of the property (the number of bedrooms it contains). Where the formula rent would be higher than the rent cap for a particular size of </w:t>
      </w:r>
      <w:r w:rsidRPr="00877AA1">
        <w:t xml:space="preserve">property, the rent cap must </w:t>
      </w:r>
      <w:r w:rsidRPr="008F7949">
        <w:t>be used instead.</w:t>
      </w:r>
      <w:r w:rsidR="00346A4F" w:rsidRPr="008F7949">
        <w:t xml:space="preserve"> </w:t>
      </w:r>
      <w:r w:rsidR="00CE3A1B" w:rsidRPr="008F7949">
        <w:rPr>
          <w:i/>
          <w:iCs/>
        </w:rPr>
        <w:t>(Ref. GOV.UK Policy Statement on Rents for Social Housing)</w:t>
      </w:r>
    </w:p>
    <w:p w14:paraId="343FD9AE" w14:textId="42CD7148" w:rsidR="00B21D69" w:rsidRPr="008F7949" w:rsidRDefault="00B21D69" w:rsidP="00ED6816">
      <w:pPr>
        <w:pStyle w:val="ListParagraph"/>
        <w:numPr>
          <w:ilvl w:val="1"/>
          <w:numId w:val="39"/>
        </w:numPr>
        <w:jc w:val="both"/>
      </w:pPr>
      <w:r w:rsidRPr="008F7949">
        <w:t>Affordable Rents - The rent for affordable rent housing (inclusive of service charges) must not exceed 80% of gross market rent. ‘Gross market rent’ means the rent (inclusive of any applicable service charges) for which the accommodation might reasonably be expected to be let in the private rented sector. Property size, location type and service provision must be taken into account when determining what gross market rent a property might achieve if let in the private rented sector.</w:t>
      </w:r>
      <w:r w:rsidR="00F36AB0" w:rsidRPr="008F7949">
        <w:t xml:space="preserve"> </w:t>
      </w:r>
      <w:r w:rsidR="00CE3A1B" w:rsidRPr="008F7949">
        <w:rPr>
          <w:i/>
          <w:iCs/>
        </w:rPr>
        <w:t>(Ref. GOV.UK Policy Statement on Rents for Social Housing)</w:t>
      </w:r>
    </w:p>
    <w:p w14:paraId="647C8E82" w14:textId="77777777" w:rsidR="009F2231" w:rsidRPr="00424C1C" w:rsidRDefault="009F2231" w:rsidP="007A6558">
      <w:pPr>
        <w:pStyle w:val="ListParagraph"/>
        <w:numPr>
          <w:ilvl w:val="0"/>
          <w:numId w:val="0"/>
        </w:numPr>
        <w:ind w:left="340"/>
        <w:jc w:val="both"/>
      </w:pPr>
    </w:p>
    <w:p w14:paraId="048ADC90" w14:textId="7C30571F" w:rsidR="00260B4A" w:rsidRPr="00424C1C" w:rsidRDefault="00260B4A" w:rsidP="00774864">
      <w:pPr>
        <w:pStyle w:val="ListParagraph"/>
        <w:jc w:val="both"/>
      </w:pPr>
      <w:r w:rsidRPr="00424C1C">
        <w:t xml:space="preserve">The HRA must adhere to these restrictions and caps on rent increases even if a tenant’s rent is below formula rent, or if the HRA has previously applied a lower – or no – annual increase. Where this is the case, the HRA may only move the rent up to formula rent when the property is re-let following vacancy (subject to the rent cap). </w:t>
      </w:r>
    </w:p>
    <w:p w14:paraId="59F51396" w14:textId="7C7BE83D" w:rsidR="004C1510" w:rsidRPr="00B872B4" w:rsidRDefault="004C1510" w:rsidP="004C1510">
      <w:pPr>
        <w:pStyle w:val="ListParagraph"/>
        <w:numPr>
          <w:ilvl w:val="0"/>
          <w:numId w:val="0"/>
        </w:numPr>
        <w:ind w:left="720"/>
        <w:jc w:val="both"/>
      </w:pPr>
    </w:p>
    <w:p w14:paraId="73A2F18B" w14:textId="236D9CFC" w:rsidR="00C076B9" w:rsidRPr="00E875B1" w:rsidRDefault="00C315E1" w:rsidP="00774864">
      <w:pPr>
        <w:pStyle w:val="ListParagraph"/>
        <w:spacing w:after="0"/>
        <w:jc w:val="both"/>
      </w:pPr>
      <w:r w:rsidRPr="00E875B1">
        <w:t xml:space="preserve">The table below demonstrates the amount of rental income foregone </w:t>
      </w:r>
      <w:r w:rsidR="008524B2" w:rsidRPr="00E875B1">
        <w:t>because of</w:t>
      </w:r>
      <w:r w:rsidRPr="00E875B1">
        <w:t xml:space="preserve"> these restrictions</w:t>
      </w:r>
      <w:r w:rsidR="003132AB" w:rsidRPr="00E875B1">
        <w:t xml:space="preserve">, </w:t>
      </w:r>
      <w:r w:rsidR="00424C1C" w:rsidRPr="00E875B1">
        <w:t>including</w:t>
      </w:r>
      <w:r w:rsidR="003132AB" w:rsidRPr="00E875B1">
        <w:t xml:space="preserve"> </w:t>
      </w:r>
      <w:r w:rsidR="00424C1C" w:rsidRPr="00E875B1">
        <w:t>2023/24</w:t>
      </w:r>
      <w:r w:rsidR="003132AB" w:rsidRPr="00E875B1">
        <w:t>’s cap of 7% maximum increase</w:t>
      </w:r>
      <w:r w:rsidR="00E20787" w:rsidRPr="00E875B1">
        <w:t xml:space="preserve"> when </w:t>
      </w:r>
      <w:r w:rsidR="00F34FB1" w:rsidRPr="00E875B1">
        <w:t xml:space="preserve">the </w:t>
      </w:r>
      <w:r w:rsidR="003B29CD" w:rsidRPr="00E875B1">
        <w:t xml:space="preserve">actual </w:t>
      </w:r>
      <w:r w:rsidR="00F34FB1" w:rsidRPr="00E875B1">
        <w:t>CPI rate was 10.1%</w:t>
      </w:r>
      <w:r w:rsidR="003B29CD" w:rsidRPr="00E875B1">
        <w:t xml:space="preserve"> </w:t>
      </w:r>
      <w:r w:rsidR="00207632" w:rsidRPr="00E875B1">
        <w:t>:</w:t>
      </w:r>
    </w:p>
    <w:p w14:paraId="6BD6217E" w14:textId="77777777" w:rsidR="009F2231" w:rsidRPr="002E794F" w:rsidRDefault="009F2231" w:rsidP="00577037"/>
    <w:tbl>
      <w:tblPr>
        <w:tblStyle w:val="TableGrid1"/>
        <w:tblpPr w:leftFromText="180" w:rightFromText="180" w:vertAnchor="text" w:horzAnchor="margin" w:tblpXSpec="center" w:tblpY="-23"/>
        <w:tblW w:w="8888" w:type="dxa"/>
        <w:tblLook w:val="04A0" w:firstRow="1" w:lastRow="0" w:firstColumn="1" w:lastColumn="0" w:noHBand="0" w:noVBand="1"/>
      </w:tblPr>
      <w:tblGrid>
        <w:gridCol w:w="2410"/>
        <w:gridCol w:w="1559"/>
        <w:gridCol w:w="1985"/>
        <w:gridCol w:w="2934"/>
      </w:tblGrid>
      <w:tr w:rsidR="00C315E1" w:rsidRPr="00E875B1" w14:paraId="33EB4566" w14:textId="77777777" w:rsidTr="0087370E">
        <w:trPr>
          <w:trHeight w:val="300"/>
        </w:trPr>
        <w:tc>
          <w:tcPr>
            <w:tcW w:w="2410" w:type="dxa"/>
            <w:shd w:val="clear" w:color="auto" w:fill="D9D9D9" w:themeFill="background1" w:themeFillShade="D9"/>
          </w:tcPr>
          <w:p w14:paraId="1BF58EF8" w14:textId="77777777" w:rsidR="00C315E1" w:rsidRPr="002E794F" w:rsidRDefault="00C315E1" w:rsidP="00C315E1">
            <w:pPr>
              <w:spacing w:after="0"/>
              <w:rPr>
                <w:rFonts w:ascii="Calibri" w:hAnsi="Calibri" w:cs="Calibri"/>
                <w:color w:val="auto"/>
                <w:sz w:val="22"/>
                <w:szCs w:val="22"/>
              </w:rPr>
            </w:pPr>
          </w:p>
        </w:tc>
        <w:tc>
          <w:tcPr>
            <w:tcW w:w="1559" w:type="dxa"/>
            <w:shd w:val="clear" w:color="auto" w:fill="D9D9D9" w:themeFill="background1" w:themeFillShade="D9"/>
          </w:tcPr>
          <w:p w14:paraId="367A8255"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Number of Properties</w:t>
            </w:r>
          </w:p>
        </w:tc>
        <w:tc>
          <w:tcPr>
            <w:tcW w:w="1985" w:type="dxa"/>
            <w:shd w:val="clear" w:color="auto" w:fill="D9D9D9" w:themeFill="background1" w:themeFillShade="D9"/>
          </w:tcPr>
          <w:p w14:paraId="14E6C03D"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Total Weekly Rent Foregone</w:t>
            </w:r>
          </w:p>
        </w:tc>
        <w:tc>
          <w:tcPr>
            <w:tcW w:w="2934" w:type="dxa"/>
            <w:shd w:val="clear" w:color="auto" w:fill="D9D9D9" w:themeFill="background1" w:themeFillShade="D9"/>
          </w:tcPr>
          <w:p w14:paraId="736990F7"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Total Annual Rental Income Foregone</w:t>
            </w:r>
          </w:p>
        </w:tc>
      </w:tr>
      <w:tr w:rsidR="00C315E1" w:rsidRPr="00E875B1" w14:paraId="247050CA" w14:textId="77777777" w:rsidTr="0087370E">
        <w:trPr>
          <w:trHeight w:val="300"/>
        </w:trPr>
        <w:tc>
          <w:tcPr>
            <w:tcW w:w="2410" w:type="dxa"/>
            <w:vAlign w:val="center"/>
          </w:tcPr>
          <w:p w14:paraId="63D222A9" w14:textId="77777777" w:rsidR="00C315E1" w:rsidRPr="002E794F" w:rsidRDefault="00C315E1" w:rsidP="24ED910F">
            <w:pPr>
              <w:spacing w:after="0"/>
              <w:rPr>
                <w:rFonts w:ascii="Calibri" w:hAnsi="Calibri" w:cs="Calibri"/>
                <w:color w:val="auto"/>
                <w:sz w:val="22"/>
                <w:szCs w:val="22"/>
              </w:rPr>
            </w:pPr>
            <w:r w:rsidRPr="00E875B1">
              <w:rPr>
                <w:rFonts w:ascii="Calibri" w:hAnsi="Calibri" w:cs="Calibri"/>
                <w:color w:val="auto"/>
                <w:sz w:val="22"/>
                <w:szCs w:val="22"/>
              </w:rPr>
              <w:t>Actual Rent is less than Formula Rent</w:t>
            </w:r>
          </w:p>
        </w:tc>
        <w:tc>
          <w:tcPr>
            <w:tcW w:w="1559" w:type="dxa"/>
            <w:vAlign w:val="center"/>
          </w:tcPr>
          <w:p w14:paraId="0F88879D" w14:textId="658AC435" w:rsidR="00C315E1" w:rsidRPr="00E875B1" w:rsidRDefault="00893B96" w:rsidP="00C315E1">
            <w:pPr>
              <w:spacing w:after="0"/>
              <w:jc w:val="right"/>
              <w:rPr>
                <w:rFonts w:ascii="Calibri" w:hAnsi="Calibri" w:cs="Calibri"/>
                <w:color w:val="auto"/>
                <w:sz w:val="22"/>
                <w:szCs w:val="22"/>
              </w:rPr>
            </w:pPr>
            <w:r w:rsidRPr="00E875B1">
              <w:rPr>
                <w:rFonts w:ascii="Calibri" w:hAnsi="Calibri" w:cs="Calibri"/>
                <w:color w:val="auto"/>
                <w:sz w:val="22"/>
                <w:szCs w:val="22"/>
              </w:rPr>
              <w:t>7,</w:t>
            </w:r>
            <w:r w:rsidR="00E13F35" w:rsidRPr="00E875B1">
              <w:rPr>
                <w:rFonts w:ascii="Calibri" w:hAnsi="Calibri" w:cs="Calibri"/>
                <w:color w:val="auto"/>
                <w:sz w:val="22"/>
                <w:szCs w:val="22"/>
              </w:rPr>
              <w:t>134</w:t>
            </w:r>
          </w:p>
        </w:tc>
        <w:tc>
          <w:tcPr>
            <w:tcW w:w="1985" w:type="dxa"/>
            <w:vAlign w:val="center"/>
          </w:tcPr>
          <w:p w14:paraId="03C739D3" w14:textId="5B42C42B" w:rsidR="00C315E1" w:rsidRPr="00E875B1" w:rsidRDefault="00C315E1" w:rsidP="00C315E1">
            <w:pPr>
              <w:spacing w:after="0"/>
              <w:jc w:val="right"/>
              <w:rPr>
                <w:rFonts w:ascii="Calibri" w:hAnsi="Calibri" w:cs="Calibri"/>
                <w:color w:val="auto"/>
                <w:sz w:val="22"/>
                <w:szCs w:val="22"/>
              </w:rPr>
            </w:pPr>
            <w:r w:rsidRPr="00E875B1">
              <w:rPr>
                <w:rFonts w:ascii="Calibri" w:hAnsi="Calibri" w:cs="Calibri"/>
                <w:color w:val="auto"/>
                <w:sz w:val="22"/>
                <w:szCs w:val="22"/>
              </w:rPr>
              <w:t>£</w:t>
            </w:r>
            <w:r w:rsidR="00893B96" w:rsidRPr="00E875B1">
              <w:rPr>
                <w:rFonts w:ascii="Calibri" w:hAnsi="Calibri" w:cs="Calibri"/>
                <w:color w:val="auto"/>
                <w:sz w:val="22"/>
                <w:szCs w:val="22"/>
              </w:rPr>
              <w:t>7</w:t>
            </w:r>
            <w:r w:rsidR="00E13F35" w:rsidRPr="00E875B1">
              <w:rPr>
                <w:rFonts w:ascii="Calibri" w:hAnsi="Calibri" w:cs="Calibri"/>
                <w:color w:val="auto"/>
                <w:sz w:val="22"/>
                <w:szCs w:val="22"/>
              </w:rPr>
              <w:t>6</w:t>
            </w:r>
            <w:r w:rsidR="00893B96" w:rsidRPr="00E875B1">
              <w:rPr>
                <w:rFonts w:ascii="Calibri" w:hAnsi="Calibri" w:cs="Calibri"/>
                <w:color w:val="auto"/>
                <w:sz w:val="22"/>
                <w:szCs w:val="22"/>
              </w:rPr>
              <w:t>,</w:t>
            </w:r>
            <w:r w:rsidR="00E13F35" w:rsidRPr="00E875B1">
              <w:rPr>
                <w:rFonts w:ascii="Calibri" w:hAnsi="Calibri" w:cs="Calibri"/>
                <w:color w:val="auto"/>
                <w:sz w:val="22"/>
                <w:szCs w:val="22"/>
              </w:rPr>
              <w:t>724</w:t>
            </w:r>
          </w:p>
        </w:tc>
        <w:tc>
          <w:tcPr>
            <w:tcW w:w="2934" w:type="dxa"/>
            <w:vAlign w:val="center"/>
          </w:tcPr>
          <w:p w14:paraId="0D021871" w14:textId="0B552200" w:rsidR="00C315E1" w:rsidRPr="00E875B1" w:rsidRDefault="00C315E1" w:rsidP="00C315E1">
            <w:pPr>
              <w:spacing w:after="0"/>
              <w:jc w:val="right"/>
              <w:rPr>
                <w:rFonts w:ascii="Calibri" w:hAnsi="Calibri" w:cs="Calibri"/>
                <w:color w:val="auto"/>
                <w:sz w:val="22"/>
                <w:szCs w:val="22"/>
              </w:rPr>
            </w:pPr>
            <w:r w:rsidRPr="00E875B1">
              <w:rPr>
                <w:rFonts w:ascii="Calibri" w:hAnsi="Calibri" w:cs="Calibri"/>
                <w:color w:val="auto"/>
                <w:sz w:val="22"/>
                <w:szCs w:val="22"/>
              </w:rPr>
              <w:t>£</w:t>
            </w:r>
            <w:r w:rsidR="00E13F35" w:rsidRPr="00E875B1">
              <w:rPr>
                <w:rFonts w:ascii="Calibri" w:hAnsi="Calibri" w:cs="Calibri"/>
                <w:color w:val="auto"/>
                <w:sz w:val="22"/>
                <w:szCs w:val="22"/>
              </w:rPr>
              <w:t>4,066,372</w:t>
            </w:r>
          </w:p>
        </w:tc>
      </w:tr>
    </w:tbl>
    <w:p w14:paraId="51661809" w14:textId="77777777" w:rsidR="00C315E1" w:rsidRPr="002E794F" w:rsidRDefault="00C315E1" w:rsidP="00C315E1">
      <w:pPr>
        <w:pStyle w:val="bParagraphtext"/>
        <w:numPr>
          <w:ilvl w:val="0"/>
          <w:numId w:val="0"/>
        </w:numPr>
        <w:ind w:left="426"/>
        <w:rPr>
          <w:rStyle w:val="Firstpagetablebold"/>
          <w:b w:val="0"/>
        </w:rPr>
      </w:pPr>
    </w:p>
    <w:p w14:paraId="73BCC7A0" w14:textId="50634018" w:rsidR="00445DB1" w:rsidRDefault="006E5A3F" w:rsidP="00445DB1">
      <w:pPr>
        <w:pStyle w:val="ListParagraph"/>
        <w:jc w:val="both"/>
      </w:pPr>
      <w:r w:rsidRPr="00E875B1">
        <w:t>One additional consideration is</w:t>
      </w:r>
      <w:r w:rsidR="008229C5" w:rsidRPr="00E875B1">
        <w:t xml:space="preserve"> for OCC</w:t>
      </w:r>
      <w:r w:rsidRPr="00E875B1">
        <w:t xml:space="preserve"> to join other social housing providers in lobbying government (</w:t>
      </w:r>
      <w:r w:rsidR="008A1323" w:rsidRPr="00E875B1">
        <w:t>MHCLG</w:t>
      </w:r>
      <w:r w:rsidRPr="00E875B1">
        <w:t xml:space="preserve">) for the </w:t>
      </w:r>
      <w:r w:rsidR="00F16B76" w:rsidRPr="00E875B1">
        <w:t>re-</w:t>
      </w:r>
      <w:r w:rsidRPr="00E875B1">
        <w:t xml:space="preserve">introduction of rent-convergence measures to address the gap between </w:t>
      </w:r>
      <w:r w:rsidR="008D725A" w:rsidRPr="00E875B1">
        <w:t xml:space="preserve">actual rents of </w:t>
      </w:r>
      <w:r w:rsidR="00464443" w:rsidRPr="00E875B1">
        <w:t>£</w:t>
      </w:r>
      <w:r w:rsidR="00E16B3B" w:rsidRPr="00E875B1">
        <w:t>53.</w:t>
      </w:r>
      <w:r w:rsidR="00143638" w:rsidRPr="00E875B1">
        <w:t>8</w:t>
      </w:r>
      <w:r w:rsidR="00E16B3B" w:rsidRPr="00E875B1">
        <w:t>9</w:t>
      </w:r>
      <w:r w:rsidR="00510D77" w:rsidRPr="00E875B1">
        <w:t xml:space="preserve">m </w:t>
      </w:r>
      <w:r w:rsidRPr="00E875B1">
        <w:t xml:space="preserve">and </w:t>
      </w:r>
      <w:r w:rsidR="008D725A" w:rsidRPr="00E875B1">
        <w:t xml:space="preserve">formula rents of </w:t>
      </w:r>
      <w:r w:rsidR="00510D77" w:rsidRPr="00E875B1">
        <w:t>£5</w:t>
      </w:r>
      <w:r w:rsidR="00E16B3B" w:rsidRPr="00E875B1">
        <w:t>7</w:t>
      </w:r>
      <w:r w:rsidR="00143638" w:rsidRPr="00E875B1">
        <w:t>.96</w:t>
      </w:r>
      <w:r w:rsidR="00510D77" w:rsidRPr="00E875B1">
        <w:t>m</w:t>
      </w:r>
      <w:r w:rsidRPr="00E875B1">
        <w:t>.  Currently this is an annual loss to the HRA of £</w:t>
      </w:r>
      <w:r w:rsidR="00AB21D2" w:rsidRPr="00E875B1">
        <w:t>4.</w:t>
      </w:r>
      <w:r w:rsidR="00143638" w:rsidRPr="00E875B1">
        <w:t>07</w:t>
      </w:r>
      <w:r w:rsidRPr="00E875B1">
        <w:t>m</w:t>
      </w:r>
    </w:p>
    <w:p w14:paraId="71E9BBD0" w14:textId="77777777" w:rsidR="006254ED" w:rsidRDefault="006254ED" w:rsidP="00DA3833">
      <w:pPr>
        <w:ind w:left="426"/>
        <w:jc w:val="both"/>
      </w:pPr>
    </w:p>
    <w:p w14:paraId="148EFA94" w14:textId="5615C98D" w:rsidR="00E70B7A" w:rsidRPr="00E875B1" w:rsidRDefault="00E70B7A" w:rsidP="000529C9">
      <w:pPr>
        <w:pStyle w:val="ListParagraph"/>
        <w:jc w:val="both"/>
      </w:pPr>
      <w:r>
        <w:t xml:space="preserve">The government </w:t>
      </w:r>
      <w:r w:rsidR="00577037">
        <w:t>recently opened a consultation</w:t>
      </w:r>
      <w:r>
        <w:t xml:space="preserve"> on </w:t>
      </w:r>
      <w:r w:rsidR="009917B4">
        <w:t>the future of the Social Housing Rent Policy</w:t>
      </w:r>
      <w:r w:rsidR="009F2391">
        <w:t xml:space="preserve"> including proposals for a 5</w:t>
      </w:r>
      <w:r w:rsidR="006420CF">
        <w:t>-</w:t>
      </w:r>
      <w:r w:rsidR="009F2391">
        <w:t>year rolling settlement</w:t>
      </w:r>
      <w:r w:rsidR="00DA3833">
        <w:t>. T</w:t>
      </w:r>
      <w:r w:rsidR="00673558">
        <w:t xml:space="preserve">he council </w:t>
      </w:r>
      <w:r w:rsidR="00850635">
        <w:t>submitted</w:t>
      </w:r>
      <w:r w:rsidR="00031545">
        <w:t xml:space="preserve"> </w:t>
      </w:r>
      <w:r w:rsidR="00BB1809">
        <w:t>its</w:t>
      </w:r>
      <w:r w:rsidR="00031545">
        <w:t xml:space="preserve"> response </w:t>
      </w:r>
      <w:r w:rsidR="00577037">
        <w:t>prior to</w:t>
      </w:r>
      <w:r w:rsidR="00673558">
        <w:t xml:space="preserve"> the </w:t>
      </w:r>
      <w:r w:rsidR="007A02C0">
        <w:t xml:space="preserve">consultation </w:t>
      </w:r>
      <w:r w:rsidR="00673558">
        <w:t>deadline of the 23</w:t>
      </w:r>
      <w:r w:rsidR="00673558" w:rsidRPr="00673558">
        <w:rPr>
          <w:vertAlign w:val="superscript"/>
        </w:rPr>
        <w:t>rd</w:t>
      </w:r>
      <w:r w:rsidR="00673558">
        <w:t xml:space="preserve"> December 2024</w:t>
      </w:r>
      <w:r w:rsidR="009F2391">
        <w:t>.</w:t>
      </w:r>
    </w:p>
    <w:p w14:paraId="17D93322" w14:textId="3EDE7EFB" w:rsidR="0020560B" w:rsidRPr="00E875B1" w:rsidRDefault="0020560B" w:rsidP="24ED910F">
      <w:pPr>
        <w:pStyle w:val="ListParagraph"/>
        <w:numPr>
          <w:ilvl w:val="0"/>
          <w:numId w:val="0"/>
        </w:numPr>
        <w:ind w:left="720"/>
        <w:rPr>
          <w:b/>
          <w:bCs/>
          <w:u w:val="single"/>
        </w:rPr>
      </w:pPr>
    </w:p>
    <w:p w14:paraId="14B8490A" w14:textId="6162592D" w:rsidR="0020560B" w:rsidRPr="005F7BA7" w:rsidRDefault="0020560B" w:rsidP="000C702A">
      <w:pPr>
        <w:pStyle w:val="ListParagraph"/>
        <w:rPr>
          <w:b/>
          <w:bCs/>
          <w:u w:val="single"/>
        </w:rPr>
      </w:pPr>
      <w:r w:rsidRPr="00E875B1">
        <w:rPr>
          <w:u w:val="single"/>
        </w:rPr>
        <w:t>Housing</w:t>
      </w:r>
      <w:r w:rsidRPr="24ED910F">
        <w:rPr>
          <w:u w:val="single"/>
        </w:rPr>
        <w:t xml:space="preserve"> Stock</w:t>
      </w:r>
    </w:p>
    <w:p w14:paraId="7CD6D3FA" w14:textId="28C87E73" w:rsidR="0020560B" w:rsidRPr="005F7BA7" w:rsidRDefault="0020560B" w:rsidP="009B087C">
      <w:pPr>
        <w:pStyle w:val="ListParagraph"/>
        <w:numPr>
          <w:ilvl w:val="0"/>
          <w:numId w:val="0"/>
        </w:numPr>
        <w:ind w:left="426"/>
      </w:pPr>
      <w:r>
        <w:t>As at 1</w:t>
      </w:r>
      <w:r w:rsidRPr="24ED910F">
        <w:rPr>
          <w:vertAlign w:val="superscript"/>
        </w:rPr>
        <w:t>st</w:t>
      </w:r>
      <w:r>
        <w:t xml:space="preserve"> April 202</w:t>
      </w:r>
      <w:r w:rsidR="005F7BA7">
        <w:t>4</w:t>
      </w:r>
      <w:r>
        <w:t xml:space="preserve"> the HRA held 7,8</w:t>
      </w:r>
      <w:r w:rsidR="00AD4F96">
        <w:t>69</w:t>
      </w:r>
      <w:r>
        <w:t xml:space="preserve"> dwellings, as shown below:</w:t>
      </w:r>
    </w:p>
    <w:tbl>
      <w:tblPr>
        <w:tblW w:w="9160" w:type="dxa"/>
        <w:tblInd w:w="576" w:type="dxa"/>
        <w:tblCellMar>
          <w:left w:w="0" w:type="dxa"/>
          <w:right w:w="0" w:type="dxa"/>
        </w:tblCellMar>
        <w:tblLook w:val="04A0" w:firstRow="1" w:lastRow="0" w:firstColumn="1" w:lastColumn="0" w:noHBand="0" w:noVBand="1"/>
      </w:tblPr>
      <w:tblGrid>
        <w:gridCol w:w="3252"/>
        <w:gridCol w:w="850"/>
        <w:gridCol w:w="851"/>
        <w:gridCol w:w="818"/>
        <w:gridCol w:w="880"/>
        <w:gridCol w:w="766"/>
        <w:gridCol w:w="691"/>
        <w:gridCol w:w="1052"/>
      </w:tblGrid>
      <w:tr w:rsidR="0020560B" w:rsidRPr="005373A7" w14:paraId="1F79AA9B" w14:textId="77777777" w:rsidTr="0022137D">
        <w:trPr>
          <w:trHeight w:val="300"/>
        </w:trPr>
        <w:tc>
          <w:tcPr>
            <w:tcW w:w="3252" w:type="dxa"/>
            <w:noWrap/>
            <w:tcMar>
              <w:top w:w="0" w:type="dxa"/>
              <w:left w:w="108" w:type="dxa"/>
              <w:bottom w:w="0" w:type="dxa"/>
              <w:right w:w="108" w:type="dxa"/>
            </w:tcMar>
            <w:vAlign w:val="center"/>
            <w:hideMark/>
          </w:tcPr>
          <w:p w14:paraId="588F2BBC" w14:textId="77777777" w:rsidR="0020560B" w:rsidRPr="005373A7" w:rsidRDefault="0020560B" w:rsidP="00B50576">
            <w:pPr>
              <w:rPr>
                <w:rFonts w:cstheme="minorHAnsi"/>
                <w:highlight w:val="yellow"/>
              </w:rPr>
            </w:pPr>
          </w:p>
        </w:tc>
        <w:tc>
          <w:tcPr>
            <w:tcW w:w="485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78DA657" w14:textId="77777777" w:rsidR="0020560B" w:rsidRPr="005F7BA7" w:rsidRDefault="0020560B" w:rsidP="00B50576">
            <w:pPr>
              <w:jc w:val="center"/>
              <w:rPr>
                <w:rFonts w:cstheme="minorHAnsi"/>
                <w:b/>
                <w:bCs/>
              </w:rPr>
            </w:pPr>
            <w:r w:rsidRPr="005F7BA7">
              <w:rPr>
                <w:rFonts w:cstheme="minorHAnsi"/>
                <w:b/>
                <w:bCs/>
              </w:rPr>
              <w:t>Number of bedrooms</w:t>
            </w:r>
          </w:p>
        </w:tc>
        <w:tc>
          <w:tcPr>
            <w:tcW w:w="1052" w:type="dxa"/>
            <w:tcBorders>
              <w:top w:val="single" w:sz="8" w:space="0" w:color="000000" w:themeColor="text1"/>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032FF51" w14:textId="77777777" w:rsidR="0020560B" w:rsidRPr="005F7BA7" w:rsidRDefault="0020560B" w:rsidP="00B50576">
            <w:pPr>
              <w:jc w:val="right"/>
              <w:rPr>
                <w:rFonts w:cstheme="minorHAnsi"/>
                <w:b/>
                <w:bCs/>
              </w:rPr>
            </w:pPr>
            <w:r w:rsidRPr="005F7BA7">
              <w:rPr>
                <w:rFonts w:cstheme="minorHAnsi"/>
                <w:b/>
                <w:bCs/>
              </w:rPr>
              <w:t> </w:t>
            </w:r>
          </w:p>
        </w:tc>
      </w:tr>
      <w:tr w:rsidR="0020560B" w:rsidRPr="005373A7" w14:paraId="52122F8F" w14:textId="77777777" w:rsidTr="0022137D">
        <w:trPr>
          <w:trHeight w:val="300"/>
        </w:trPr>
        <w:tc>
          <w:tcPr>
            <w:tcW w:w="3252" w:type="dxa"/>
            <w:noWrap/>
            <w:tcMar>
              <w:top w:w="0" w:type="dxa"/>
              <w:left w:w="108" w:type="dxa"/>
              <w:bottom w:w="0" w:type="dxa"/>
              <w:right w:w="108" w:type="dxa"/>
            </w:tcMar>
            <w:vAlign w:val="center"/>
            <w:hideMark/>
          </w:tcPr>
          <w:p w14:paraId="1992D088" w14:textId="77777777" w:rsidR="0020560B" w:rsidRPr="005373A7" w:rsidRDefault="0020560B" w:rsidP="00B50576">
            <w:pPr>
              <w:rPr>
                <w:rFonts w:cstheme="minorHAnsi"/>
                <w:b/>
                <w:bCs/>
                <w:highlight w:val="yellow"/>
              </w:rPr>
            </w:pPr>
          </w:p>
        </w:tc>
        <w:tc>
          <w:tcPr>
            <w:tcW w:w="850" w:type="dxa"/>
            <w:tcBorders>
              <w:top w:val="nil"/>
              <w:left w:val="single" w:sz="8" w:space="0" w:color="000000" w:themeColor="text1"/>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3056AB2D" w14:textId="77777777" w:rsidR="0020560B" w:rsidRPr="005F7BA7" w:rsidRDefault="0020560B" w:rsidP="00B50576">
            <w:pPr>
              <w:jc w:val="right"/>
              <w:rPr>
                <w:rFonts w:cstheme="minorHAnsi"/>
                <w:b/>
                <w:bCs/>
                <w:color w:val="FFFFFF"/>
              </w:rPr>
            </w:pPr>
            <w:r w:rsidRPr="005F7BA7">
              <w:rPr>
                <w:rFonts w:cstheme="minorHAnsi"/>
                <w:b/>
                <w:bCs/>
                <w:color w:val="FFFFFF"/>
              </w:rPr>
              <w:t>0</w:t>
            </w:r>
          </w:p>
        </w:tc>
        <w:tc>
          <w:tcPr>
            <w:tcW w:w="851"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07F1B8EA" w14:textId="77777777" w:rsidR="0020560B" w:rsidRPr="005F7BA7" w:rsidRDefault="0020560B" w:rsidP="00B50576">
            <w:pPr>
              <w:jc w:val="right"/>
              <w:rPr>
                <w:rFonts w:cstheme="minorHAnsi"/>
                <w:b/>
                <w:bCs/>
                <w:color w:val="FFFFFF"/>
              </w:rPr>
            </w:pPr>
            <w:r w:rsidRPr="005F7BA7">
              <w:rPr>
                <w:rFonts w:cstheme="minorHAnsi"/>
                <w:b/>
                <w:bCs/>
                <w:color w:val="FFFFFF"/>
              </w:rPr>
              <w:t>1</w:t>
            </w:r>
          </w:p>
        </w:tc>
        <w:tc>
          <w:tcPr>
            <w:tcW w:w="818"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5F4F9B22" w14:textId="77777777" w:rsidR="0020560B" w:rsidRPr="005F7BA7" w:rsidRDefault="0020560B" w:rsidP="00B50576">
            <w:pPr>
              <w:jc w:val="right"/>
              <w:rPr>
                <w:rFonts w:cstheme="minorHAnsi"/>
                <w:b/>
                <w:bCs/>
                <w:color w:val="FFFFFF"/>
              </w:rPr>
            </w:pPr>
            <w:r w:rsidRPr="005F7BA7">
              <w:rPr>
                <w:rFonts w:cstheme="minorHAnsi"/>
                <w:b/>
                <w:bCs/>
                <w:color w:val="FFFFFF"/>
              </w:rPr>
              <w:t>2</w:t>
            </w:r>
          </w:p>
        </w:tc>
        <w:tc>
          <w:tcPr>
            <w:tcW w:w="880"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0BFF550D" w14:textId="77777777" w:rsidR="0020560B" w:rsidRPr="005F7BA7" w:rsidRDefault="0020560B" w:rsidP="00B50576">
            <w:pPr>
              <w:jc w:val="right"/>
              <w:rPr>
                <w:rFonts w:cstheme="minorHAnsi"/>
                <w:b/>
                <w:bCs/>
                <w:color w:val="FFFFFF"/>
              </w:rPr>
            </w:pPr>
            <w:r w:rsidRPr="005F7BA7">
              <w:rPr>
                <w:rFonts w:cstheme="minorHAnsi"/>
                <w:b/>
                <w:bCs/>
                <w:color w:val="FFFFFF"/>
              </w:rPr>
              <w:t>3</w:t>
            </w:r>
          </w:p>
        </w:tc>
        <w:tc>
          <w:tcPr>
            <w:tcW w:w="766"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5D6E8433" w14:textId="77777777" w:rsidR="0020560B" w:rsidRPr="005F7BA7" w:rsidRDefault="0020560B" w:rsidP="00B50576">
            <w:pPr>
              <w:jc w:val="right"/>
              <w:rPr>
                <w:rFonts w:cstheme="minorHAnsi"/>
                <w:b/>
                <w:bCs/>
                <w:color w:val="FFFFFF"/>
              </w:rPr>
            </w:pPr>
            <w:r w:rsidRPr="005F7BA7">
              <w:rPr>
                <w:rFonts w:cstheme="minorHAnsi"/>
                <w:b/>
                <w:bCs/>
                <w:color w:val="FFFFFF"/>
              </w:rPr>
              <w:t>4</w:t>
            </w:r>
          </w:p>
        </w:tc>
        <w:tc>
          <w:tcPr>
            <w:tcW w:w="691"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73D2865F" w14:textId="77777777" w:rsidR="0020560B" w:rsidRPr="005F7BA7" w:rsidRDefault="0020560B" w:rsidP="00B50576">
            <w:pPr>
              <w:jc w:val="right"/>
              <w:rPr>
                <w:rFonts w:cstheme="minorHAnsi"/>
                <w:b/>
                <w:bCs/>
                <w:color w:val="FFFFFF"/>
              </w:rPr>
            </w:pPr>
            <w:r w:rsidRPr="005F7BA7">
              <w:rPr>
                <w:rFonts w:cstheme="minorHAnsi"/>
                <w:b/>
                <w:bCs/>
                <w:color w:val="FFFFFF"/>
              </w:rPr>
              <w:t>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E79CF4A" w14:textId="77777777" w:rsidR="0020560B" w:rsidRPr="005F7BA7" w:rsidRDefault="0020560B" w:rsidP="00B50576">
            <w:pPr>
              <w:jc w:val="right"/>
              <w:rPr>
                <w:rFonts w:cstheme="minorHAnsi"/>
                <w:b/>
                <w:bCs/>
              </w:rPr>
            </w:pPr>
            <w:r w:rsidRPr="005F7BA7">
              <w:rPr>
                <w:rFonts w:cstheme="minorHAnsi"/>
                <w:b/>
                <w:bCs/>
              </w:rPr>
              <w:t>Total</w:t>
            </w:r>
          </w:p>
        </w:tc>
      </w:tr>
      <w:tr w:rsidR="0020560B" w:rsidRPr="00EB14CC" w14:paraId="0D4DF9E8" w14:textId="77777777" w:rsidTr="0022137D">
        <w:trPr>
          <w:trHeight w:val="300"/>
        </w:trPr>
        <w:tc>
          <w:tcPr>
            <w:tcW w:w="3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1EB76D86" w14:textId="77777777" w:rsidR="0020560B" w:rsidRPr="005F7BA7" w:rsidRDefault="0020560B" w:rsidP="00B50576">
            <w:pPr>
              <w:rPr>
                <w:rFonts w:cstheme="minorHAnsi"/>
                <w:b/>
                <w:bCs/>
                <w:color w:val="FFFFFF"/>
              </w:rPr>
            </w:pPr>
            <w:r w:rsidRPr="005F7BA7">
              <w:rPr>
                <w:rFonts w:cstheme="minorHAnsi"/>
                <w:b/>
                <w:bCs/>
                <w:color w:val="FFFFFF"/>
              </w:rPr>
              <w:t>Flat / Maisonette</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DF168B8" w14:textId="7FE5E18A" w:rsidR="0020560B" w:rsidRPr="00EB14CC" w:rsidRDefault="0020560B" w:rsidP="00B50576">
            <w:pPr>
              <w:jc w:val="right"/>
              <w:rPr>
                <w:rFonts w:cstheme="minorHAnsi"/>
              </w:rPr>
            </w:pPr>
            <w:r w:rsidRPr="00EB14CC">
              <w:rPr>
                <w:rFonts w:cstheme="minorHAnsi"/>
              </w:rPr>
              <w:t>1</w:t>
            </w:r>
            <w:r w:rsidR="00AD4F96" w:rsidRPr="00EB14CC">
              <w:rPr>
                <w:rFonts w:cstheme="minorHAnsi"/>
              </w:rPr>
              <w:t>63</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14B6024" w14:textId="7C9E3810" w:rsidR="0020560B" w:rsidRPr="00EB14CC" w:rsidRDefault="0020560B" w:rsidP="24ED910F">
            <w:pPr>
              <w:jc w:val="right"/>
              <w:rPr>
                <w:rFonts w:cstheme="minorBidi"/>
              </w:rPr>
            </w:pPr>
            <w:r w:rsidRPr="24ED910F">
              <w:rPr>
                <w:rFonts w:cstheme="minorBidi"/>
              </w:rPr>
              <w:t>1,2</w:t>
            </w:r>
            <w:r w:rsidR="0E1693A0" w:rsidRPr="24ED910F">
              <w:rPr>
                <w:rFonts w:cstheme="minorBidi"/>
              </w:rPr>
              <w:t>57</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3B42450" w14:textId="69C49E94" w:rsidR="0020560B" w:rsidRPr="00EB14CC" w:rsidRDefault="0020560B" w:rsidP="00B50576">
            <w:pPr>
              <w:jc w:val="right"/>
              <w:rPr>
                <w:rFonts w:cstheme="minorHAnsi"/>
              </w:rPr>
            </w:pPr>
            <w:r w:rsidRPr="00EB14CC">
              <w:rPr>
                <w:rFonts w:cstheme="minorHAnsi"/>
              </w:rPr>
              <w:t>1,7</w:t>
            </w:r>
            <w:r w:rsidR="005945F5" w:rsidRPr="00EB14CC">
              <w:rPr>
                <w:rFonts w:cstheme="minorHAnsi"/>
              </w:rPr>
              <w:t>43</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0E1E5BC" w14:textId="117D84E5" w:rsidR="0020560B" w:rsidRPr="00EB14CC" w:rsidRDefault="0020560B" w:rsidP="00B50576">
            <w:pPr>
              <w:jc w:val="right"/>
              <w:rPr>
                <w:rFonts w:cstheme="minorHAnsi"/>
              </w:rPr>
            </w:pPr>
            <w:r w:rsidRPr="00EB14CC">
              <w:rPr>
                <w:rFonts w:cstheme="minorHAnsi"/>
              </w:rPr>
              <w:t>16</w:t>
            </w:r>
            <w:r w:rsidR="00763B5E" w:rsidRPr="00EB14CC">
              <w:rPr>
                <w:rFonts w:cstheme="minorHAnsi"/>
              </w:rPr>
              <w:t>2</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5371A84" w14:textId="77777777" w:rsidR="0020560B" w:rsidRPr="00EB14CC" w:rsidRDefault="0020560B" w:rsidP="00B50576">
            <w:pPr>
              <w:jc w:val="right"/>
              <w:rPr>
                <w:rFonts w:cstheme="minorHAnsi"/>
              </w:rPr>
            </w:pPr>
            <w:r w:rsidRPr="00EB14CC">
              <w:rPr>
                <w:rFonts w:cstheme="minorHAnsi"/>
              </w:rPr>
              <w:t>5</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E00FCC9"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6EEAC20" w14:textId="2C94ABA6" w:rsidR="0020560B" w:rsidRPr="00EB14CC" w:rsidRDefault="0020560B" w:rsidP="00B50576">
            <w:pPr>
              <w:jc w:val="right"/>
              <w:rPr>
                <w:rFonts w:cstheme="minorHAnsi"/>
                <w:b/>
                <w:bCs/>
              </w:rPr>
            </w:pPr>
            <w:r w:rsidRPr="00EB14CC">
              <w:rPr>
                <w:rFonts w:cstheme="minorHAnsi"/>
                <w:b/>
                <w:bCs/>
              </w:rPr>
              <w:t>3,</w:t>
            </w:r>
            <w:r w:rsidR="00EB14CC" w:rsidRPr="00EB14CC">
              <w:rPr>
                <w:rFonts w:cstheme="minorHAnsi"/>
                <w:b/>
                <w:bCs/>
              </w:rPr>
              <w:t>330</w:t>
            </w:r>
          </w:p>
        </w:tc>
      </w:tr>
      <w:tr w:rsidR="0020560B" w:rsidRPr="00EB14CC" w14:paraId="2ACB7023"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0378E831" w14:textId="77777777" w:rsidR="0020560B" w:rsidRPr="005F7BA7" w:rsidRDefault="0020560B" w:rsidP="00B50576">
            <w:pPr>
              <w:rPr>
                <w:rFonts w:cstheme="minorHAnsi"/>
                <w:b/>
                <w:bCs/>
                <w:color w:val="FFFFFF"/>
              </w:rPr>
            </w:pPr>
            <w:r w:rsidRPr="005F7BA7">
              <w:rPr>
                <w:rFonts w:cstheme="minorHAnsi"/>
                <w:b/>
                <w:bCs/>
                <w:color w:val="FFFFFF"/>
              </w:rPr>
              <w:lastRenderedPageBreak/>
              <w:t>House / Bungalow</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0704809" w14:textId="77777777" w:rsidR="0020560B" w:rsidRPr="00EB14CC" w:rsidRDefault="0020560B" w:rsidP="00B50576">
            <w:pPr>
              <w:jc w:val="right"/>
              <w:rPr>
                <w:rFonts w:cstheme="minorHAnsi"/>
              </w:rPr>
            </w:pPr>
            <w:r w:rsidRPr="00EB14CC">
              <w:rPr>
                <w:rFonts w:cstheme="minorHAnsi"/>
              </w:rPr>
              <w:t> </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E886FDC" w14:textId="24F19884" w:rsidR="0020560B" w:rsidRPr="00EB14CC" w:rsidRDefault="0020560B" w:rsidP="00B50576">
            <w:pPr>
              <w:jc w:val="right"/>
              <w:rPr>
                <w:rFonts w:cstheme="minorHAnsi"/>
              </w:rPr>
            </w:pPr>
            <w:r w:rsidRPr="00EB14CC">
              <w:rPr>
                <w:rFonts w:cstheme="minorHAnsi"/>
              </w:rPr>
              <w:t>27</w:t>
            </w:r>
            <w:r w:rsidR="005945F5" w:rsidRPr="00EB14CC">
              <w:rPr>
                <w:rFonts w:cstheme="minorHAnsi"/>
              </w:rPr>
              <w:t>2</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3384F05" w14:textId="4462D1A3" w:rsidR="0020560B" w:rsidRPr="00EB14CC" w:rsidRDefault="0020560B" w:rsidP="00B50576">
            <w:pPr>
              <w:jc w:val="right"/>
              <w:rPr>
                <w:rFonts w:cstheme="minorHAnsi"/>
              </w:rPr>
            </w:pPr>
            <w:r w:rsidRPr="00EB14CC">
              <w:rPr>
                <w:rFonts w:cstheme="minorHAnsi"/>
              </w:rPr>
              <w:t>83</w:t>
            </w:r>
            <w:r w:rsidR="005945F5" w:rsidRPr="00EB14CC">
              <w:rPr>
                <w:rFonts w:cstheme="minorHAnsi"/>
              </w:rPr>
              <w:t>4</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23C55A6" w14:textId="409547FD" w:rsidR="0020560B" w:rsidRPr="00EB14CC" w:rsidRDefault="0020560B" w:rsidP="24ED910F">
            <w:pPr>
              <w:jc w:val="right"/>
              <w:rPr>
                <w:rFonts w:cstheme="minorBidi"/>
              </w:rPr>
            </w:pPr>
            <w:r w:rsidRPr="24ED910F">
              <w:rPr>
                <w:rFonts w:cstheme="minorBidi"/>
              </w:rPr>
              <w:t>2,7</w:t>
            </w:r>
            <w:r w:rsidR="5C19AAC8" w:rsidRPr="24ED910F">
              <w:rPr>
                <w:rFonts w:cstheme="minorBidi"/>
              </w:rPr>
              <w:t>85</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FAE8B2F" w14:textId="68930D40" w:rsidR="0020560B" w:rsidRPr="00EB14CC" w:rsidRDefault="0020560B" w:rsidP="00B50576">
            <w:pPr>
              <w:jc w:val="right"/>
              <w:rPr>
                <w:rFonts w:cstheme="minorHAnsi"/>
              </w:rPr>
            </w:pPr>
            <w:r w:rsidRPr="00EB14CC">
              <w:rPr>
                <w:rFonts w:cstheme="minorHAnsi"/>
              </w:rPr>
              <w:t>25</w:t>
            </w:r>
            <w:r w:rsidR="00EB14CC" w:rsidRPr="00EB14CC">
              <w:rPr>
                <w:rFonts w:cstheme="minorHAnsi"/>
              </w:rPr>
              <w:t>6</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1E67A8" w14:textId="636BA2E6" w:rsidR="0020560B" w:rsidRPr="00EB14CC" w:rsidRDefault="00EB14CC" w:rsidP="00B50576">
            <w:pPr>
              <w:jc w:val="right"/>
              <w:rPr>
                <w:rFonts w:cstheme="minorHAnsi"/>
              </w:rPr>
            </w:pPr>
            <w:r w:rsidRPr="00EB14CC">
              <w:rPr>
                <w:rFonts w:cstheme="minorHAnsi"/>
              </w:rPr>
              <w:t>35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77B9338" w14:textId="42EE5459" w:rsidR="0020560B" w:rsidRPr="00EB14CC" w:rsidRDefault="0020560B" w:rsidP="00B50576">
            <w:pPr>
              <w:jc w:val="right"/>
              <w:rPr>
                <w:rFonts w:cstheme="minorHAnsi"/>
                <w:b/>
                <w:bCs/>
              </w:rPr>
            </w:pPr>
            <w:r w:rsidRPr="00EB14CC">
              <w:rPr>
                <w:rFonts w:cstheme="minorHAnsi"/>
                <w:b/>
                <w:bCs/>
              </w:rPr>
              <w:t>4,1</w:t>
            </w:r>
            <w:r w:rsidR="00EB14CC" w:rsidRPr="00EB14CC">
              <w:rPr>
                <w:rFonts w:cstheme="minorHAnsi"/>
                <w:b/>
                <w:bCs/>
              </w:rPr>
              <w:t>82</w:t>
            </w:r>
          </w:p>
        </w:tc>
      </w:tr>
      <w:tr w:rsidR="0020560B" w:rsidRPr="00EB14CC" w14:paraId="4F18B3B3"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5999A94F" w14:textId="4C92A546" w:rsidR="0020560B" w:rsidRPr="005F7BA7" w:rsidRDefault="00101A18" w:rsidP="00B50576">
            <w:pPr>
              <w:rPr>
                <w:rFonts w:cstheme="minorHAnsi"/>
                <w:b/>
                <w:bCs/>
                <w:color w:val="FFFFFF"/>
              </w:rPr>
            </w:pPr>
            <w:r>
              <w:rPr>
                <w:rFonts w:cstheme="minorHAnsi"/>
                <w:b/>
                <w:bCs/>
                <w:color w:val="FFFFFF"/>
              </w:rPr>
              <w:t>Housing for Older People</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701172F" w14:textId="694E4C9B" w:rsidR="0020560B" w:rsidRPr="00EB14CC" w:rsidRDefault="0020560B" w:rsidP="24ED910F">
            <w:pPr>
              <w:jc w:val="right"/>
              <w:rPr>
                <w:rFonts w:cstheme="minorBidi"/>
              </w:rPr>
            </w:pP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FE35DF5" w14:textId="72653284" w:rsidR="0020560B" w:rsidRPr="00EB14CC" w:rsidRDefault="0020560B" w:rsidP="00B50576">
            <w:pPr>
              <w:jc w:val="right"/>
              <w:rPr>
                <w:rFonts w:cstheme="minorHAnsi"/>
              </w:rPr>
            </w:pPr>
            <w:r w:rsidRPr="00EB14CC">
              <w:rPr>
                <w:rFonts w:cstheme="minorHAnsi"/>
              </w:rPr>
              <w:t>2</w:t>
            </w:r>
            <w:r w:rsidR="005945F5" w:rsidRPr="00EB14CC">
              <w:rPr>
                <w:rFonts w:cstheme="minorHAnsi"/>
              </w:rPr>
              <w:t>66</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09871D2" w14:textId="12FB6F3F" w:rsidR="0020560B" w:rsidRPr="00EB14CC" w:rsidRDefault="00763B5E" w:rsidP="00B50576">
            <w:pPr>
              <w:jc w:val="right"/>
              <w:rPr>
                <w:rFonts w:cstheme="minorHAnsi"/>
              </w:rPr>
            </w:pPr>
            <w:r w:rsidRPr="00EB14CC">
              <w:rPr>
                <w:rFonts w:cstheme="minorHAnsi"/>
              </w:rPr>
              <w:t>26</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3535BD6" w14:textId="77777777" w:rsidR="0020560B" w:rsidRPr="00EB14CC" w:rsidRDefault="0020560B" w:rsidP="00B50576">
            <w:pPr>
              <w:jc w:val="right"/>
              <w:rPr>
                <w:rFonts w:cstheme="minorHAnsi"/>
              </w:rPr>
            </w:pPr>
            <w:r w:rsidRPr="00EB14CC">
              <w:rPr>
                <w:rFonts w:cstheme="minorHAnsi"/>
              </w:rPr>
              <w:t> </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FF6CC5A" w14:textId="77777777" w:rsidR="0020560B" w:rsidRPr="00EB14CC" w:rsidRDefault="0020560B" w:rsidP="00B50576">
            <w:pPr>
              <w:jc w:val="right"/>
              <w:rPr>
                <w:rFonts w:cstheme="minorHAnsi"/>
              </w:rPr>
            </w:pPr>
            <w:r w:rsidRPr="00EB14CC">
              <w:rPr>
                <w:rFonts w:cstheme="minorHAnsi"/>
              </w:rPr>
              <w:t> </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A0A6799"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C352D53" w14:textId="2879E167" w:rsidR="0020560B" w:rsidRPr="00EB14CC" w:rsidRDefault="00EB14CC" w:rsidP="00B50576">
            <w:pPr>
              <w:jc w:val="right"/>
              <w:rPr>
                <w:rFonts w:cstheme="minorHAnsi"/>
                <w:b/>
                <w:bCs/>
              </w:rPr>
            </w:pPr>
            <w:r w:rsidRPr="00EB14CC">
              <w:rPr>
                <w:rFonts w:cstheme="minorHAnsi"/>
                <w:b/>
                <w:bCs/>
              </w:rPr>
              <w:t>292</w:t>
            </w:r>
          </w:p>
        </w:tc>
      </w:tr>
      <w:tr w:rsidR="0020560B" w:rsidRPr="00EB14CC" w14:paraId="7B29E0A9"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01B2BF42" w14:textId="77777777" w:rsidR="0020560B" w:rsidRPr="005F7BA7" w:rsidRDefault="0020560B" w:rsidP="00B50576">
            <w:pPr>
              <w:rPr>
                <w:rFonts w:cstheme="minorHAnsi"/>
                <w:b/>
                <w:bCs/>
                <w:color w:val="FFFFFF"/>
              </w:rPr>
            </w:pPr>
            <w:r w:rsidRPr="005F7BA7">
              <w:rPr>
                <w:rFonts w:cstheme="minorHAnsi"/>
                <w:b/>
                <w:bCs/>
                <w:color w:val="FFFFFF"/>
              </w:rPr>
              <w:t>Shared ownership</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16009AA" w14:textId="77777777" w:rsidR="0020560B" w:rsidRPr="00EB14CC" w:rsidRDefault="0020560B" w:rsidP="00B50576">
            <w:pPr>
              <w:jc w:val="right"/>
              <w:rPr>
                <w:rFonts w:cstheme="minorHAnsi"/>
              </w:rPr>
            </w:pPr>
            <w:r w:rsidRPr="00EB14CC">
              <w:rPr>
                <w:rFonts w:cstheme="minorHAnsi"/>
              </w:rPr>
              <w:t> </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C5F8B90" w14:textId="3E5565AF" w:rsidR="0020560B" w:rsidRPr="00EB14CC" w:rsidRDefault="005945F5" w:rsidP="00B50576">
            <w:pPr>
              <w:jc w:val="right"/>
              <w:rPr>
                <w:rFonts w:cstheme="minorHAnsi"/>
              </w:rPr>
            </w:pPr>
            <w:r w:rsidRPr="00EB14CC">
              <w:rPr>
                <w:rFonts w:cstheme="minorHAnsi"/>
              </w:rPr>
              <w:t>31</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879E4C3" w14:textId="77777777" w:rsidR="0020560B" w:rsidRPr="00EB14CC" w:rsidRDefault="0020560B" w:rsidP="00B50576">
            <w:pPr>
              <w:jc w:val="right"/>
              <w:rPr>
                <w:rFonts w:cstheme="minorHAnsi"/>
              </w:rPr>
            </w:pPr>
            <w:r w:rsidRPr="00EB14CC">
              <w:rPr>
                <w:rFonts w:cstheme="minorHAnsi"/>
              </w:rPr>
              <w:t>31</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749D154" w14:textId="77777777" w:rsidR="0020560B" w:rsidRPr="00EB14CC" w:rsidRDefault="0020560B" w:rsidP="00B50576">
            <w:pPr>
              <w:jc w:val="right"/>
              <w:rPr>
                <w:rFonts w:cstheme="minorHAnsi"/>
              </w:rPr>
            </w:pPr>
            <w:r w:rsidRPr="00EB14CC">
              <w:rPr>
                <w:rFonts w:cstheme="minorHAnsi"/>
              </w:rPr>
              <w:t> 3</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5F037BF" w14:textId="77777777" w:rsidR="0020560B" w:rsidRPr="00EB14CC" w:rsidRDefault="0020560B" w:rsidP="24ED910F">
            <w:pPr>
              <w:jc w:val="right"/>
              <w:rPr>
                <w:rFonts w:cstheme="minorBidi"/>
              </w:rPr>
            </w:pP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B973EA6"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44B6336" w14:textId="440965F3" w:rsidR="0020560B" w:rsidRPr="00EB14CC" w:rsidRDefault="00EB14CC" w:rsidP="00B50576">
            <w:pPr>
              <w:jc w:val="right"/>
              <w:rPr>
                <w:rFonts w:cstheme="minorHAnsi"/>
                <w:b/>
                <w:bCs/>
              </w:rPr>
            </w:pPr>
            <w:r w:rsidRPr="00EB14CC">
              <w:rPr>
                <w:rFonts w:cstheme="minorHAnsi"/>
                <w:b/>
                <w:bCs/>
              </w:rPr>
              <w:t>65</w:t>
            </w:r>
          </w:p>
        </w:tc>
      </w:tr>
      <w:tr w:rsidR="0020560B" w:rsidRPr="00EB14CC" w14:paraId="087C0041"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09CAFA1" w14:textId="77777777" w:rsidR="0020560B" w:rsidRPr="005F7BA7" w:rsidRDefault="0020560B" w:rsidP="00B50576">
            <w:pPr>
              <w:jc w:val="right"/>
              <w:rPr>
                <w:rFonts w:cstheme="minorHAnsi"/>
                <w:b/>
                <w:bCs/>
              </w:rPr>
            </w:pPr>
            <w:r w:rsidRPr="005F7BA7">
              <w:rPr>
                <w:rFonts w:cstheme="minorHAnsi"/>
                <w:b/>
                <w:bCs/>
              </w:rPr>
              <w:t>Totals</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60A6D42" w14:textId="06F162FC" w:rsidR="0020560B" w:rsidRPr="00EB14CC" w:rsidRDefault="0020560B" w:rsidP="00B50576">
            <w:pPr>
              <w:jc w:val="right"/>
              <w:rPr>
                <w:rFonts w:cstheme="minorHAnsi"/>
                <w:b/>
                <w:bCs/>
              </w:rPr>
            </w:pPr>
            <w:r w:rsidRPr="00EB14CC">
              <w:rPr>
                <w:rFonts w:cstheme="minorHAnsi"/>
                <w:b/>
                <w:bCs/>
              </w:rPr>
              <w:t>16</w:t>
            </w:r>
            <w:r w:rsidR="00101A18" w:rsidRPr="00EB14CC">
              <w:rPr>
                <w:rFonts w:cstheme="minorHAnsi"/>
                <w:b/>
                <w:bCs/>
              </w:rPr>
              <w:t>3</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90E588A" w14:textId="010FB4B2" w:rsidR="0020560B" w:rsidRPr="00EB14CC" w:rsidRDefault="0020560B" w:rsidP="00B50576">
            <w:pPr>
              <w:jc w:val="right"/>
              <w:rPr>
                <w:rFonts w:cstheme="minorHAnsi"/>
                <w:b/>
                <w:bCs/>
              </w:rPr>
            </w:pPr>
            <w:r w:rsidRPr="00EB14CC">
              <w:rPr>
                <w:rFonts w:cstheme="minorHAnsi"/>
                <w:b/>
                <w:bCs/>
              </w:rPr>
              <w:t>1,</w:t>
            </w:r>
            <w:r w:rsidR="005945F5" w:rsidRPr="00EB14CC">
              <w:rPr>
                <w:rFonts w:cstheme="minorHAnsi"/>
                <w:b/>
                <w:bCs/>
              </w:rPr>
              <w:t>826</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677E9F" w14:textId="1C04518B" w:rsidR="0020560B" w:rsidRPr="00EB14CC" w:rsidRDefault="0020560B" w:rsidP="24ED910F">
            <w:pPr>
              <w:jc w:val="right"/>
              <w:rPr>
                <w:rFonts w:cstheme="minorBidi"/>
                <w:b/>
                <w:bCs/>
              </w:rPr>
            </w:pPr>
            <w:r w:rsidRPr="24ED910F">
              <w:rPr>
                <w:rFonts w:cstheme="minorBidi"/>
                <w:b/>
                <w:bCs/>
              </w:rPr>
              <w:t>2,6</w:t>
            </w:r>
            <w:r w:rsidR="5C19AAC8" w:rsidRPr="24ED910F">
              <w:rPr>
                <w:rFonts w:cstheme="minorBidi"/>
                <w:b/>
                <w:bCs/>
              </w:rPr>
              <w:t>34</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B718774" w14:textId="77777777" w:rsidR="0020560B" w:rsidRPr="00EB14CC" w:rsidRDefault="0020560B" w:rsidP="00B50576">
            <w:pPr>
              <w:jc w:val="right"/>
              <w:rPr>
                <w:rFonts w:cstheme="minorHAnsi"/>
                <w:b/>
                <w:bCs/>
              </w:rPr>
            </w:pPr>
            <w:r w:rsidRPr="00EB14CC">
              <w:rPr>
                <w:rFonts w:cstheme="minorHAnsi"/>
                <w:b/>
                <w:bCs/>
              </w:rPr>
              <w:t>2,950</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D666A58" w14:textId="40990AD1" w:rsidR="0020560B" w:rsidRPr="00EB14CC" w:rsidRDefault="0020560B" w:rsidP="00B50576">
            <w:pPr>
              <w:jc w:val="right"/>
              <w:rPr>
                <w:rFonts w:cstheme="minorHAnsi"/>
                <w:b/>
                <w:bCs/>
              </w:rPr>
            </w:pPr>
            <w:r w:rsidRPr="00EB14CC">
              <w:rPr>
                <w:rFonts w:cstheme="minorHAnsi"/>
                <w:b/>
                <w:bCs/>
              </w:rPr>
              <w:t>2</w:t>
            </w:r>
            <w:r w:rsidR="00EB14CC" w:rsidRPr="00EB14CC">
              <w:rPr>
                <w:rFonts w:cstheme="minorHAnsi"/>
                <w:b/>
                <w:bCs/>
              </w:rPr>
              <w:t>61</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D0A9FE3" w14:textId="0F295F6A" w:rsidR="0020560B" w:rsidRPr="00EB14CC" w:rsidRDefault="00EB14CC" w:rsidP="00B50576">
            <w:pPr>
              <w:jc w:val="right"/>
              <w:rPr>
                <w:rFonts w:cstheme="minorHAnsi"/>
                <w:b/>
                <w:bCs/>
              </w:rPr>
            </w:pPr>
            <w:r w:rsidRPr="00EB14CC">
              <w:rPr>
                <w:rFonts w:cstheme="minorHAnsi"/>
                <w:b/>
                <w:bCs/>
              </w:rPr>
              <w:t>35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BA4B336" w14:textId="538A64F7" w:rsidR="0020560B" w:rsidRPr="00EB14CC" w:rsidRDefault="0020560B" w:rsidP="00B50576">
            <w:pPr>
              <w:jc w:val="right"/>
              <w:rPr>
                <w:rFonts w:cstheme="minorHAnsi"/>
                <w:b/>
                <w:bCs/>
              </w:rPr>
            </w:pPr>
            <w:r w:rsidRPr="00EB14CC">
              <w:rPr>
                <w:rFonts w:cstheme="minorHAnsi"/>
                <w:b/>
                <w:bCs/>
              </w:rPr>
              <w:t>7,8</w:t>
            </w:r>
            <w:r w:rsidR="00EB14CC" w:rsidRPr="00EB14CC">
              <w:rPr>
                <w:rFonts w:cstheme="minorHAnsi"/>
                <w:b/>
                <w:bCs/>
              </w:rPr>
              <w:t>69</w:t>
            </w:r>
          </w:p>
        </w:tc>
      </w:tr>
    </w:tbl>
    <w:p w14:paraId="54773C7A" w14:textId="1503F4E8" w:rsidR="00BF30BD" w:rsidRPr="00482992" w:rsidRDefault="00BF30BD" w:rsidP="000C702A">
      <w:pPr>
        <w:pStyle w:val="ListParagraph"/>
      </w:pPr>
      <w:r w:rsidRPr="00D01BF4">
        <w:t>Types of Rent</w:t>
      </w:r>
    </w:p>
    <w:p w14:paraId="7D57F280" w14:textId="67284FC4" w:rsidR="00BF30BD" w:rsidRPr="00482992" w:rsidRDefault="00854EE8" w:rsidP="00BF30BD">
      <w:r w:rsidRPr="00482992">
        <w:tab/>
      </w:r>
      <w:r w:rsidR="00BF30BD" w:rsidRPr="00482992">
        <w:t>There are two types of rent charged within the HRA:</w:t>
      </w:r>
    </w:p>
    <w:p w14:paraId="31FF2511" w14:textId="2321EA5A" w:rsidR="00BF30BD" w:rsidRPr="00482992" w:rsidRDefault="00BF30BD" w:rsidP="00BF30BD">
      <w:pPr>
        <w:pStyle w:val="ListParagraph"/>
        <w:numPr>
          <w:ilvl w:val="0"/>
          <w:numId w:val="36"/>
        </w:numPr>
        <w:tabs>
          <w:tab w:val="clear" w:pos="426"/>
        </w:tabs>
        <w:spacing w:after="160" w:line="259" w:lineRule="auto"/>
        <w:contextualSpacing/>
        <w:jc w:val="both"/>
      </w:pPr>
      <w:r w:rsidRPr="00482992">
        <w:rPr>
          <w:b/>
        </w:rPr>
        <w:t>Social Rent</w:t>
      </w:r>
      <w:r w:rsidRPr="00482992">
        <w:t xml:space="preserve"> - Since 2001, rents for properties let at ‘social rent’ (which constitute a majority of rented social housing properties) have been set based on a formula set by government. This creates a ‘formula rent’ for each property, which is calculated based on the relative value of the property, relative local income levels, and the size of the property. </w:t>
      </w:r>
    </w:p>
    <w:p w14:paraId="4AB0C443" w14:textId="629F60DB" w:rsidR="00991296" w:rsidRPr="00482992" w:rsidRDefault="00BF30BD" w:rsidP="00991296">
      <w:pPr>
        <w:pStyle w:val="ListParagraph"/>
        <w:numPr>
          <w:ilvl w:val="0"/>
          <w:numId w:val="36"/>
        </w:numPr>
        <w:tabs>
          <w:tab w:val="clear" w:pos="426"/>
        </w:tabs>
        <w:spacing w:after="160" w:line="259" w:lineRule="auto"/>
        <w:contextualSpacing/>
        <w:jc w:val="both"/>
      </w:pPr>
      <w:r w:rsidRPr="00482992">
        <w:rPr>
          <w:b/>
        </w:rPr>
        <w:t xml:space="preserve">Affordable Rent </w:t>
      </w:r>
      <w:r w:rsidRPr="00482992">
        <w:t xml:space="preserve">- In 2011, the government introduced ‘affordable rent’ which permits rents to be set at up to 80% of market rent (inclusive of service charges). </w:t>
      </w:r>
    </w:p>
    <w:p w14:paraId="0B2084EA" w14:textId="77777777" w:rsidR="00991296" w:rsidRPr="005F7BA7" w:rsidRDefault="00991296" w:rsidP="00991296">
      <w:pPr>
        <w:pStyle w:val="ListParagraph"/>
        <w:numPr>
          <w:ilvl w:val="0"/>
          <w:numId w:val="0"/>
        </w:numPr>
        <w:tabs>
          <w:tab w:val="clear" w:pos="426"/>
        </w:tabs>
        <w:spacing w:after="160" w:line="259" w:lineRule="auto"/>
        <w:ind w:left="1080"/>
        <w:contextualSpacing/>
        <w:jc w:val="both"/>
      </w:pPr>
    </w:p>
    <w:p w14:paraId="720A1629" w14:textId="77777777" w:rsidR="00BF30BD" w:rsidRPr="005F7BA7" w:rsidRDefault="00BF30BD" w:rsidP="00BF30BD">
      <w:pPr>
        <w:spacing w:after="0"/>
        <w:jc w:val="both"/>
        <w:rPr>
          <w:sz w:val="16"/>
          <w:szCs w:val="16"/>
        </w:rPr>
      </w:pPr>
    </w:p>
    <w:p w14:paraId="267CA4CF" w14:textId="61F0FC43" w:rsidR="00E16E70" w:rsidRPr="005F7BA7" w:rsidRDefault="00E16E70" w:rsidP="24ED910F">
      <w:pPr>
        <w:pStyle w:val="ListParagraph"/>
      </w:pPr>
      <w:r w:rsidRPr="005F7BA7">
        <w:t>A table of the highest rents charged by OCC HRA is shown below:</w:t>
      </w:r>
    </w:p>
    <w:p w14:paraId="1A323F89" w14:textId="77777777" w:rsidR="003677C4" w:rsidRPr="005373A7" w:rsidRDefault="003677C4" w:rsidP="003677C4">
      <w:pPr>
        <w:pStyle w:val="ListParagraph"/>
        <w:numPr>
          <w:ilvl w:val="0"/>
          <w:numId w:val="0"/>
        </w:numPr>
        <w:ind w:left="720"/>
        <w:rPr>
          <w:highlight w:val="yellow"/>
        </w:rPr>
      </w:pPr>
    </w:p>
    <w:tbl>
      <w:tblPr>
        <w:tblW w:w="6004" w:type="dxa"/>
        <w:tblInd w:w="2581" w:type="dxa"/>
        <w:tblLook w:val="04A0" w:firstRow="1" w:lastRow="0" w:firstColumn="1" w:lastColumn="0" w:noHBand="0" w:noVBand="1"/>
      </w:tblPr>
      <w:tblGrid>
        <w:gridCol w:w="1985"/>
        <w:gridCol w:w="1559"/>
        <w:gridCol w:w="2460"/>
      </w:tblGrid>
      <w:tr w:rsidR="00E16E70" w:rsidRPr="005373A7" w14:paraId="4CAF4C35" w14:textId="77777777" w:rsidTr="24ED910F">
        <w:trPr>
          <w:trHeight w:val="300"/>
        </w:trPr>
        <w:tc>
          <w:tcPr>
            <w:tcW w:w="1985" w:type="dxa"/>
            <w:tcBorders>
              <w:top w:val="nil"/>
              <w:left w:val="nil"/>
              <w:bottom w:val="nil"/>
              <w:right w:val="nil"/>
            </w:tcBorders>
            <w:shd w:val="clear" w:color="auto" w:fill="BFBFBF" w:themeFill="background1" w:themeFillShade="BF"/>
            <w:noWrap/>
            <w:vAlign w:val="bottom"/>
            <w:hideMark/>
          </w:tcPr>
          <w:p w14:paraId="16CB6FF8" w14:textId="77777777" w:rsidR="00E16E70" w:rsidRPr="005373A7" w:rsidRDefault="00E16E70" w:rsidP="00B50576">
            <w:pPr>
              <w:spacing w:after="0"/>
              <w:rPr>
                <w:rFonts w:ascii="Times New Roman" w:hAnsi="Times New Roman"/>
                <w:b/>
                <w:highlight w:val="yellow"/>
              </w:rPr>
            </w:pPr>
          </w:p>
        </w:tc>
        <w:tc>
          <w:tcPr>
            <w:tcW w:w="4019" w:type="dxa"/>
            <w:gridSpan w:val="2"/>
            <w:tcBorders>
              <w:top w:val="nil"/>
              <w:left w:val="nil"/>
              <w:bottom w:val="nil"/>
              <w:right w:val="nil"/>
            </w:tcBorders>
            <w:shd w:val="clear" w:color="auto" w:fill="BFBFBF" w:themeFill="background1" w:themeFillShade="BF"/>
            <w:noWrap/>
            <w:vAlign w:val="bottom"/>
            <w:hideMark/>
          </w:tcPr>
          <w:p w14:paraId="15933D9C" w14:textId="265468AE" w:rsidR="00E16E70" w:rsidRPr="005F7BA7" w:rsidRDefault="00E16E70" w:rsidP="00B50576">
            <w:pPr>
              <w:spacing w:after="0"/>
              <w:jc w:val="center"/>
              <w:rPr>
                <w:rFonts w:ascii="Calibri" w:hAnsi="Calibri" w:cs="Calibri"/>
                <w:b/>
                <w:u w:val="single"/>
              </w:rPr>
            </w:pPr>
            <w:r w:rsidRPr="005F7BA7">
              <w:rPr>
                <w:rFonts w:ascii="Calibri" w:hAnsi="Calibri" w:cs="Calibri"/>
                <w:b/>
                <w:u w:val="single"/>
              </w:rPr>
              <w:t>202</w:t>
            </w:r>
            <w:r w:rsidR="005F7BA7" w:rsidRPr="005F7BA7">
              <w:rPr>
                <w:rFonts w:ascii="Calibri" w:hAnsi="Calibri" w:cs="Calibri"/>
                <w:b/>
                <w:u w:val="single"/>
              </w:rPr>
              <w:t>4</w:t>
            </w:r>
            <w:r w:rsidRPr="005F7BA7">
              <w:rPr>
                <w:rFonts w:ascii="Calibri" w:hAnsi="Calibri" w:cs="Calibri"/>
                <w:b/>
                <w:u w:val="single"/>
              </w:rPr>
              <w:t>/2</w:t>
            </w:r>
            <w:r w:rsidR="005F7BA7" w:rsidRPr="005F7BA7">
              <w:rPr>
                <w:rFonts w:ascii="Calibri" w:hAnsi="Calibri" w:cs="Calibri"/>
                <w:b/>
                <w:u w:val="single"/>
              </w:rPr>
              <w:t>5</w:t>
            </w:r>
            <w:r w:rsidRPr="005F7BA7">
              <w:rPr>
                <w:rFonts w:ascii="Calibri" w:hAnsi="Calibri" w:cs="Calibri"/>
                <w:b/>
                <w:u w:val="single"/>
              </w:rPr>
              <w:t xml:space="preserve"> Highest Weekly Rents</w:t>
            </w:r>
          </w:p>
        </w:tc>
      </w:tr>
      <w:tr w:rsidR="00E16E70" w:rsidRPr="005373A7" w14:paraId="390E5DA2" w14:textId="77777777" w:rsidTr="24ED910F">
        <w:trPr>
          <w:trHeight w:val="300"/>
        </w:trPr>
        <w:tc>
          <w:tcPr>
            <w:tcW w:w="1985" w:type="dxa"/>
            <w:tcBorders>
              <w:top w:val="nil"/>
              <w:left w:val="nil"/>
              <w:bottom w:val="nil"/>
              <w:right w:val="nil"/>
            </w:tcBorders>
            <w:shd w:val="clear" w:color="auto" w:fill="BFBFBF" w:themeFill="background1" w:themeFillShade="BF"/>
            <w:noWrap/>
            <w:vAlign w:val="bottom"/>
            <w:hideMark/>
          </w:tcPr>
          <w:p w14:paraId="7C0B727B" w14:textId="77777777" w:rsidR="00E16E70" w:rsidRPr="005F7BA7" w:rsidRDefault="00E16E70" w:rsidP="00B50576">
            <w:pPr>
              <w:spacing w:after="0"/>
              <w:rPr>
                <w:rFonts w:ascii="Calibri" w:hAnsi="Calibri" w:cs="Calibri"/>
                <w:b/>
              </w:rPr>
            </w:pPr>
            <w:r w:rsidRPr="005F7BA7">
              <w:rPr>
                <w:rFonts w:ascii="Calibri" w:hAnsi="Calibri" w:cs="Calibri"/>
                <w:b/>
              </w:rPr>
              <w:t>No. of Bedrooms</w:t>
            </w:r>
          </w:p>
        </w:tc>
        <w:tc>
          <w:tcPr>
            <w:tcW w:w="1559" w:type="dxa"/>
            <w:tcBorders>
              <w:top w:val="nil"/>
              <w:left w:val="nil"/>
              <w:bottom w:val="nil"/>
              <w:right w:val="nil"/>
            </w:tcBorders>
            <w:shd w:val="clear" w:color="auto" w:fill="BFBFBF" w:themeFill="background1" w:themeFillShade="BF"/>
            <w:noWrap/>
            <w:vAlign w:val="bottom"/>
            <w:hideMark/>
          </w:tcPr>
          <w:p w14:paraId="5E33C1BB" w14:textId="77777777" w:rsidR="00E16E70" w:rsidRPr="005F7BA7" w:rsidRDefault="00E16E70" w:rsidP="00B50576">
            <w:pPr>
              <w:spacing w:after="0"/>
              <w:jc w:val="right"/>
              <w:rPr>
                <w:rFonts w:ascii="Calibri" w:hAnsi="Calibri" w:cs="Calibri"/>
                <w:b/>
              </w:rPr>
            </w:pPr>
            <w:r w:rsidRPr="005F7BA7">
              <w:rPr>
                <w:rFonts w:ascii="Calibri" w:hAnsi="Calibri" w:cs="Calibri"/>
                <w:b/>
              </w:rPr>
              <w:t>Social Rent</w:t>
            </w:r>
          </w:p>
        </w:tc>
        <w:tc>
          <w:tcPr>
            <w:tcW w:w="2460" w:type="dxa"/>
            <w:tcBorders>
              <w:top w:val="nil"/>
              <w:left w:val="nil"/>
              <w:bottom w:val="nil"/>
              <w:right w:val="nil"/>
            </w:tcBorders>
            <w:shd w:val="clear" w:color="auto" w:fill="BFBFBF" w:themeFill="background1" w:themeFillShade="BF"/>
            <w:noWrap/>
            <w:vAlign w:val="bottom"/>
            <w:hideMark/>
          </w:tcPr>
          <w:p w14:paraId="029C1641" w14:textId="77777777" w:rsidR="00E16E70" w:rsidRPr="005F7BA7" w:rsidRDefault="00E16E70" w:rsidP="00B50576">
            <w:pPr>
              <w:spacing w:after="0"/>
              <w:jc w:val="right"/>
              <w:rPr>
                <w:rFonts w:ascii="Calibri" w:hAnsi="Calibri" w:cs="Calibri"/>
                <w:b/>
              </w:rPr>
            </w:pPr>
            <w:r w:rsidRPr="005F7BA7">
              <w:rPr>
                <w:rFonts w:ascii="Calibri" w:hAnsi="Calibri" w:cs="Calibri"/>
                <w:b/>
              </w:rPr>
              <w:t>Affordable Rent</w:t>
            </w:r>
          </w:p>
        </w:tc>
      </w:tr>
      <w:tr w:rsidR="00E16E70" w:rsidRPr="005373A7" w14:paraId="503F18CE" w14:textId="77777777" w:rsidTr="24ED910F">
        <w:trPr>
          <w:trHeight w:val="300"/>
        </w:trPr>
        <w:tc>
          <w:tcPr>
            <w:tcW w:w="1985" w:type="dxa"/>
            <w:tcBorders>
              <w:top w:val="nil"/>
              <w:left w:val="nil"/>
              <w:bottom w:val="nil"/>
              <w:right w:val="nil"/>
            </w:tcBorders>
            <w:shd w:val="clear" w:color="auto" w:fill="auto"/>
            <w:noWrap/>
            <w:vAlign w:val="bottom"/>
            <w:hideMark/>
          </w:tcPr>
          <w:p w14:paraId="772AD529" w14:textId="77777777" w:rsidR="00E16E70" w:rsidRPr="005F7BA7" w:rsidRDefault="00E16E70" w:rsidP="00B50576">
            <w:pPr>
              <w:spacing w:after="0"/>
              <w:rPr>
                <w:rFonts w:ascii="Calibri" w:hAnsi="Calibri" w:cs="Calibri"/>
              </w:rPr>
            </w:pPr>
            <w:r w:rsidRPr="005F7BA7">
              <w:rPr>
                <w:rFonts w:ascii="Calibri" w:hAnsi="Calibri" w:cs="Calibri"/>
              </w:rPr>
              <w:t>1 and bedsits</w:t>
            </w:r>
          </w:p>
        </w:tc>
        <w:tc>
          <w:tcPr>
            <w:tcW w:w="1559" w:type="dxa"/>
            <w:tcBorders>
              <w:top w:val="nil"/>
              <w:left w:val="nil"/>
              <w:bottom w:val="nil"/>
              <w:right w:val="nil"/>
            </w:tcBorders>
            <w:shd w:val="clear" w:color="auto" w:fill="auto"/>
            <w:noWrap/>
            <w:vAlign w:val="bottom"/>
            <w:hideMark/>
          </w:tcPr>
          <w:p w14:paraId="41407769" w14:textId="26EB8010" w:rsidR="00E16E70" w:rsidRPr="00B771D1" w:rsidRDefault="00E16E70" w:rsidP="00B50576">
            <w:pPr>
              <w:spacing w:after="0"/>
              <w:jc w:val="right"/>
              <w:rPr>
                <w:rFonts w:ascii="Calibri" w:hAnsi="Calibri" w:cs="Calibri"/>
              </w:rPr>
            </w:pPr>
            <w:r w:rsidRPr="00B771D1">
              <w:rPr>
                <w:rFonts w:ascii="Calibri" w:hAnsi="Calibri" w:cs="Calibri"/>
              </w:rPr>
              <w:t>£1</w:t>
            </w:r>
            <w:r w:rsidR="00CA0630" w:rsidRPr="00B771D1">
              <w:rPr>
                <w:rFonts w:ascii="Calibri" w:hAnsi="Calibri" w:cs="Calibri"/>
              </w:rPr>
              <w:t>48.68</w:t>
            </w:r>
          </w:p>
        </w:tc>
        <w:tc>
          <w:tcPr>
            <w:tcW w:w="2460" w:type="dxa"/>
            <w:tcBorders>
              <w:top w:val="nil"/>
              <w:left w:val="nil"/>
              <w:bottom w:val="nil"/>
              <w:right w:val="nil"/>
            </w:tcBorders>
            <w:shd w:val="clear" w:color="auto" w:fill="auto"/>
            <w:noWrap/>
            <w:vAlign w:val="bottom"/>
            <w:hideMark/>
          </w:tcPr>
          <w:p w14:paraId="6131D82D" w14:textId="0CBC0DCF"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205.55</w:t>
            </w:r>
          </w:p>
        </w:tc>
      </w:tr>
      <w:tr w:rsidR="00E16E70" w:rsidRPr="005373A7" w14:paraId="1B949566" w14:textId="77777777" w:rsidTr="24ED910F">
        <w:trPr>
          <w:trHeight w:val="300"/>
        </w:trPr>
        <w:tc>
          <w:tcPr>
            <w:tcW w:w="1985" w:type="dxa"/>
            <w:tcBorders>
              <w:top w:val="nil"/>
              <w:left w:val="nil"/>
              <w:bottom w:val="nil"/>
              <w:right w:val="nil"/>
            </w:tcBorders>
            <w:shd w:val="clear" w:color="auto" w:fill="auto"/>
            <w:noWrap/>
            <w:vAlign w:val="bottom"/>
            <w:hideMark/>
          </w:tcPr>
          <w:p w14:paraId="1FA7643D" w14:textId="77777777" w:rsidR="00E16E70" w:rsidRPr="005F7BA7" w:rsidRDefault="00E16E70" w:rsidP="00B50576">
            <w:pPr>
              <w:spacing w:after="0"/>
              <w:rPr>
                <w:rFonts w:ascii="Calibri" w:hAnsi="Calibri" w:cs="Calibri"/>
              </w:rPr>
            </w:pPr>
            <w:r w:rsidRPr="005F7BA7">
              <w:rPr>
                <w:rFonts w:ascii="Calibri" w:hAnsi="Calibri" w:cs="Calibri"/>
              </w:rPr>
              <w:t>2</w:t>
            </w:r>
          </w:p>
        </w:tc>
        <w:tc>
          <w:tcPr>
            <w:tcW w:w="1559" w:type="dxa"/>
            <w:tcBorders>
              <w:top w:val="nil"/>
              <w:left w:val="nil"/>
              <w:bottom w:val="nil"/>
              <w:right w:val="nil"/>
            </w:tcBorders>
            <w:shd w:val="clear" w:color="auto" w:fill="auto"/>
            <w:noWrap/>
            <w:vAlign w:val="bottom"/>
            <w:hideMark/>
          </w:tcPr>
          <w:p w14:paraId="73BD43FC" w14:textId="75BD04B5" w:rsidR="00E16E70" w:rsidRPr="00B771D1" w:rsidRDefault="00E16E70" w:rsidP="00B50576">
            <w:pPr>
              <w:spacing w:after="0"/>
              <w:jc w:val="right"/>
              <w:rPr>
                <w:rFonts w:ascii="Calibri" w:hAnsi="Calibri" w:cs="Calibri"/>
              </w:rPr>
            </w:pPr>
            <w:r w:rsidRPr="00B771D1">
              <w:rPr>
                <w:rFonts w:ascii="Calibri" w:hAnsi="Calibri" w:cs="Calibri"/>
              </w:rPr>
              <w:t>£1</w:t>
            </w:r>
            <w:r w:rsidR="00CA0630" w:rsidRPr="00B771D1">
              <w:rPr>
                <w:rFonts w:ascii="Calibri" w:hAnsi="Calibri" w:cs="Calibri"/>
              </w:rPr>
              <w:t>99.09</w:t>
            </w:r>
          </w:p>
        </w:tc>
        <w:tc>
          <w:tcPr>
            <w:tcW w:w="2460" w:type="dxa"/>
            <w:tcBorders>
              <w:top w:val="nil"/>
              <w:left w:val="nil"/>
              <w:bottom w:val="nil"/>
              <w:right w:val="nil"/>
            </w:tcBorders>
            <w:shd w:val="clear" w:color="auto" w:fill="auto"/>
            <w:noWrap/>
            <w:vAlign w:val="bottom"/>
            <w:hideMark/>
          </w:tcPr>
          <w:p w14:paraId="3EE613DB" w14:textId="092BC100" w:rsidR="00E16E70" w:rsidRPr="00B771D1" w:rsidRDefault="00E16E70" w:rsidP="00B50576">
            <w:pPr>
              <w:spacing w:after="0"/>
              <w:jc w:val="right"/>
              <w:rPr>
                <w:rFonts w:ascii="Calibri" w:hAnsi="Calibri" w:cs="Calibri"/>
              </w:rPr>
            </w:pPr>
            <w:r w:rsidRPr="00B771D1">
              <w:rPr>
                <w:rFonts w:ascii="Calibri" w:hAnsi="Calibri" w:cs="Calibri"/>
              </w:rPr>
              <w:t>£2</w:t>
            </w:r>
            <w:r w:rsidR="00B771D1" w:rsidRPr="00B771D1">
              <w:rPr>
                <w:rFonts w:ascii="Calibri" w:hAnsi="Calibri" w:cs="Calibri"/>
              </w:rPr>
              <w:t>51.92</w:t>
            </w:r>
          </w:p>
        </w:tc>
      </w:tr>
      <w:tr w:rsidR="00E16E70" w:rsidRPr="005373A7" w14:paraId="046884BC" w14:textId="77777777" w:rsidTr="24ED910F">
        <w:trPr>
          <w:trHeight w:val="300"/>
        </w:trPr>
        <w:tc>
          <w:tcPr>
            <w:tcW w:w="1985" w:type="dxa"/>
            <w:tcBorders>
              <w:top w:val="nil"/>
              <w:left w:val="nil"/>
              <w:bottom w:val="nil"/>
              <w:right w:val="nil"/>
            </w:tcBorders>
            <w:shd w:val="clear" w:color="auto" w:fill="auto"/>
            <w:noWrap/>
            <w:vAlign w:val="bottom"/>
            <w:hideMark/>
          </w:tcPr>
          <w:p w14:paraId="2E341F8E" w14:textId="77777777" w:rsidR="00E16E70" w:rsidRPr="005F7BA7" w:rsidRDefault="00E16E70" w:rsidP="00B50576">
            <w:pPr>
              <w:spacing w:after="0"/>
              <w:rPr>
                <w:rFonts w:ascii="Calibri" w:hAnsi="Calibri" w:cs="Calibri"/>
              </w:rPr>
            </w:pPr>
            <w:r w:rsidRPr="005F7BA7">
              <w:rPr>
                <w:rFonts w:ascii="Calibri" w:hAnsi="Calibri" w:cs="Calibri"/>
              </w:rPr>
              <w:t>3</w:t>
            </w:r>
          </w:p>
        </w:tc>
        <w:tc>
          <w:tcPr>
            <w:tcW w:w="1559" w:type="dxa"/>
            <w:tcBorders>
              <w:top w:val="nil"/>
              <w:left w:val="nil"/>
              <w:bottom w:val="nil"/>
              <w:right w:val="nil"/>
            </w:tcBorders>
            <w:shd w:val="clear" w:color="auto" w:fill="auto"/>
            <w:noWrap/>
            <w:vAlign w:val="bottom"/>
            <w:hideMark/>
          </w:tcPr>
          <w:p w14:paraId="20AB5897" w14:textId="604489F9"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210.15</w:t>
            </w:r>
          </w:p>
        </w:tc>
        <w:tc>
          <w:tcPr>
            <w:tcW w:w="2460" w:type="dxa"/>
            <w:tcBorders>
              <w:top w:val="nil"/>
              <w:left w:val="nil"/>
              <w:bottom w:val="nil"/>
              <w:right w:val="nil"/>
            </w:tcBorders>
            <w:shd w:val="clear" w:color="auto" w:fill="auto"/>
            <w:noWrap/>
            <w:vAlign w:val="bottom"/>
            <w:hideMark/>
          </w:tcPr>
          <w:p w14:paraId="68724FB3" w14:textId="1A6FF4EC"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303.69</w:t>
            </w:r>
          </w:p>
        </w:tc>
      </w:tr>
      <w:tr w:rsidR="00E16E70" w:rsidRPr="005373A7" w14:paraId="2FFACE7D" w14:textId="77777777" w:rsidTr="24ED910F">
        <w:trPr>
          <w:trHeight w:val="300"/>
        </w:trPr>
        <w:tc>
          <w:tcPr>
            <w:tcW w:w="1985" w:type="dxa"/>
            <w:tcBorders>
              <w:top w:val="nil"/>
              <w:left w:val="nil"/>
              <w:bottom w:val="nil"/>
              <w:right w:val="nil"/>
            </w:tcBorders>
            <w:shd w:val="clear" w:color="auto" w:fill="auto"/>
            <w:noWrap/>
            <w:vAlign w:val="bottom"/>
            <w:hideMark/>
          </w:tcPr>
          <w:p w14:paraId="38B8D9B1" w14:textId="77777777" w:rsidR="00E16E70" w:rsidRPr="005F7BA7" w:rsidRDefault="00E16E70" w:rsidP="00B50576">
            <w:pPr>
              <w:spacing w:after="0"/>
              <w:rPr>
                <w:rFonts w:ascii="Calibri" w:hAnsi="Calibri" w:cs="Calibri"/>
              </w:rPr>
            </w:pPr>
            <w:r w:rsidRPr="005F7BA7">
              <w:rPr>
                <w:rFonts w:ascii="Calibri" w:hAnsi="Calibri" w:cs="Calibri"/>
              </w:rPr>
              <w:t>4</w:t>
            </w:r>
          </w:p>
        </w:tc>
        <w:tc>
          <w:tcPr>
            <w:tcW w:w="1559" w:type="dxa"/>
            <w:tcBorders>
              <w:top w:val="nil"/>
              <w:left w:val="nil"/>
              <w:bottom w:val="nil"/>
              <w:right w:val="nil"/>
            </w:tcBorders>
            <w:shd w:val="clear" w:color="auto" w:fill="auto"/>
            <w:noWrap/>
            <w:vAlign w:val="bottom"/>
            <w:hideMark/>
          </w:tcPr>
          <w:p w14:paraId="26843A63" w14:textId="5398964C"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221.19</w:t>
            </w:r>
          </w:p>
        </w:tc>
        <w:tc>
          <w:tcPr>
            <w:tcW w:w="2460" w:type="dxa"/>
            <w:tcBorders>
              <w:top w:val="nil"/>
              <w:left w:val="nil"/>
              <w:bottom w:val="nil"/>
              <w:right w:val="nil"/>
            </w:tcBorders>
            <w:shd w:val="clear" w:color="auto" w:fill="auto"/>
            <w:noWrap/>
            <w:vAlign w:val="bottom"/>
            <w:hideMark/>
          </w:tcPr>
          <w:p w14:paraId="39C0AEB3" w14:textId="16487EDD" w:rsidR="00E16E70" w:rsidRPr="00B771D1" w:rsidRDefault="70BA1742" w:rsidP="00B50576">
            <w:pPr>
              <w:spacing w:after="0"/>
              <w:jc w:val="right"/>
              <w:rPr>
                <w:rFonts w:ascii="Calibri" w:hAnsi="Calibri" w:cs="Calibri"/>
              </w:rPr>
            </w:pPr>
            <w:r w:rsidRPr="24ED910F">
              <w:rPr>
                <w:rFonts w:ascii="Calibri" w:hAnsi="Calibri" w:cs="Calibri"/>
              </w:rPr>
              <w:t>N/A</w:t>
            </w:r>
          </w:p>
        </w:tc>
      </w:tr>
      <w:tr w:rsidR="00E16E70" w:rsidRPr="005373A7" w14:paraId="4D4A0393" w14:textId="77777777" w:rsidTr="24ED910F">
        <w:trPr>
          <w:trHeight w:val="300"/>
        </w:trPr>
        <w:tc>
          <w:tcPr>
            <w:tcW w:w="1985" w:type="dxa"/>
            <w:tcBorders>
              <w:top w:val="nil"/>
              <w:left w:val="nil"/>
              <w:bottom w:val="nil"/>
              <w:right w:val="nil"/>
            </w:tcBorders>
            <w:shd w:val="clear" w:color="auto" w:fill="auto"/>
            <w:noWrap/>
            <w:vAlign w:val="bottom"/>
            <w:hideMark/>
          </w:tcPr>
          <w:p w14:paraId="43D0537F" w14:textId="77777777" w:rsidR="00E16E70" w:rsidRPr="005F7BA7" w:rsidRDefault="00E16E70" w:rsidP="00B50576">
            <w:pPr>
              <w:spacing w:after="0"/>
              <w:rPr>
                <w:rFonts w:ascii="Calibri" w:hAnsi="Calibri" w:cs="Calibri"/>
              </w:rPr>
            </w:pPr>
            <w:r w:rsidRPr="005F7BA7">
              <w:rPr>
                <w:rFonts w:ascii="Calibri" w:hAnsi="Calibri" w:cs="Calibri"/>
              </w:rPr>
              <w:t>5</w:t>
            </w:r>
          </w:p>
        </w:tc>
        <w:tc>
          <w:tcPr>
            <w:tcW w:w="1559" w:type="dxa"/>
            <w:tcBorders>
              <w:top w:val="nil"/>
              <w:left w:val="nil"/>
              <w:bottom w:val="nil"/>
              <w:right w:val="nil"/>
            </w:tcBorders>
            <w:shd w:val="clear" w:color="auto" w:fill="auto"/>
            <w:noWrap/>
            <w:vAlign w:val="bottom"/>
            <w:hideMark/>
          </w:tcPr>
          <w:p w14:paraId="2A2010EB" w14:textId="5DDFAA0C" w:rsidR="00E16E70" w:rsidRPr="00B771D1" w:rsidRDefault="00E16E70" w:rsidP="00B50576">
            <w:pPr>
              <w:spacing w:after="0"/>
              <w:jc w:val="right"/>
              <w:rPr>
                <w:rFonts w:ascii="Calibri" w:hAnsi="Calibri" w:cs="Calibri"/>
              </w:rPr>
            </w:pPr>
            <w:r w:rsidRPr="00B771D1">
              <w:rPr>
                <w:rFonts w:ascii="Calibri" w:hAnsi="Calibri" w:cs="Calibri"/>
              </w:rPr>
              <w:t>£</w:t>
            </w:r>
            <w:r w:rsidR="00FB52BC" w:rsidRPr="00B771D1">
              <w:rPr>
                <w:rFonts w:ascii="Calibri" w:hAnsi="Calibri" w:cs="Calibri"/>
              </w:rPr>
              <w:t>2</w:t>
            </w:r>
            <w:r w:rsidR="00B771D1" w:rsidRPr="00B771D1">
              <w:rPr>
                <w:rFonts w:ascii="Calibri" w:hAnsi="Calibri" w:cs="Calibri"/>
              </w:rPr>
              <w:t>32.26</w:t>
            </w:r>
          </w:p>
        </w:tc>
        <w:tc>
          <w:tcPr>
            <w:tcW w:w="2460" w:type="dxa"/>
            <w:tcBorders>
              <w:top w:val="nil"/>
              <w:left w:val="nil"/>
              <w:bottom w:val="nil"/>
              <w:right w:val="nil"/>
            </w:tcBorders>
            <w:shd w:val="clear" w:color="auto" w:fill="auto"/>
            <w:noWrap/>
            <w:vAlign w:val="bottom"/>
            <w:hideMark/>
          </w:tcPr>
          <w:p w14:paraId="2B35E2C9" w14:textId="3A2FF377" w:rsidR="00E16E70" w:rsidRPr="00B771D1" w:rsidRDefault="62144342" w:rsidP="00B50576">
            <w:pPr>
              <w:spacing w:after="0"/>
              <w:jc w:val="right"/>
              <w:rPr>
                <w:rFonts w:ascii="Calibri" w:hAnsi="Calibri" w:cs="Calibri"/>
              </w:rPr>
            </w:pPr>
            <w:r w:rsidRPr="24ED910F">
              <w:rPr>
                <w:rFonts w:ascii="Calibri" w:hAnsi="Calibri" w:cs="Calibri"/>
              </w:rPr>
              <w:t>N/A</w:t>
            </w:r>
          </w:p>
        </w:tc>
      </w:tr>
      <w:tr w:rsidR="00E16E70" w:rsidRPr="00A83252" w14:paraId="28B89909" w14:textId="77777777" w:rsidTr="24ED910F">
        <w:trPr>
          <w:trHeight w:val="300"/>
        </w:trPr>
        <w:tc>
          <w:tcPr>
            <w:tcW w:w="1985" w:type="dxa"/>
            <w:tcBorders>
              <w:top w:val="nil"/>
              <w:left w:val="nil"/>
              <w:bottom w:val="nil"/>
              <w:right w:val="nil"/>
            </w:tcBorders>
            <w:shd w:val="clear" w:color="auto" w:fill="auto"/>
            <w:noWrap/>
            <w:vAlign w:val="bottom"/>
            <w:hideMark/>
          </w:tcPr>
          <w:p w14:paraId="2B77EDFA" w14:textId="77777777" w:rsidR="00E16E70" w:rsidRPr="00A83252" w:rsidRDefault="00E16E70" w:rsidP="00B50576">
            <w:pPr>
              <w:spacing w:after="0"/>
              <w:rPr>
                <w:rFonts w:ascii="Calibri" w:hAnsi="Calibri" w:cs="Calibri"/>
              </w:rPr>
            </w:pPr>
            <w:r w:rsidRPr="00A83252">
              <w:rPr>
                <w:rFonts w:ascii="Calibri" w:hAnsi="Calibri" w:cs="Calibri"/>
              </w:rPr>
              <w:t>6 or more</w:t>
            </w:r>
          </w:p>
        </w:tc>
        <w:tc>
          <w:tcPr>
            <w:tcW w:w="1559" w:type="dxa"/>
            <w:tcBorders>
              <w:top w:val="nil"/>
              <w:left w:val="nil"/>
              <w:bottom w:val="nil"/>
              <w:right w:val="nil"/>
            </w:tcBorders>
            <w:shd w:val="clear" w:color="auto" w:fill="auto"/>
            <w:noWrap/>
            <w:vAlign w:val="bottom"/>
            <w:hideMark/>
          </w:tcPr>
          <w:p w14:paraId="32F165EA" w14:textId="0BBEE96A" w:rsidR="00E16E70" w:rsidRPr="00A83252" w:rsidRDefault="00E16E70" w:rsidP="00B50576">
            <w:pPr>
              <w:spacing w:after="0"/>
              <w:jc w:val="right"/>
              <w:rPr>
                <w:rFonts w:ascii="Calibri" w:hAnsi="Calibri" w:cs="Calibri"/>
              </w:rPr>
            </w:pPr>
            <w:r w:rsidRPr="00A83252">
              <w:rPr>
                <w:rFonts w:ascii="Calibri" w:hAnsi="Calibri" w:cs="Calibri"/>
              </w:rPr>
              <w:t>£</w:t>
            </w:r>
            <w:r w:rsidR="00B771D1" w:rsidRPr="00A83252">
              <w:rPr>
                <w:rFonts w:ascii="Calibri" w:hAnsi="Calibri" w:cs="Calibri"/>
              </w:rPr>
              <w:t>243.31</w:t>
            </w:r>
          </w:p>
        </w:tc>
        <w:tc>
          <w:tcPr>
            <w:tcW w:w="2460" w:type="dxa"/>
            <w:tcBorders>
              <w:top w:val="nil"/>
              <w:left w:val="nil"/>
              <w:bottom w:val="nil"/>
              <w:right w:val="nil"/>
            </w:tcBorders>
            <w:shd w:val="clear" w:color="auto" w:fill="auto"/>
            <w:noWrap/>
            <w:vAlign w:val="bottom"/>
            <w:hideMark/>
          </w:tcPr>
          <w:p w14:paraId="71DF9088" w14:textId="2DC53A96" w:rsidR="00E16E70" w:rsidRPr="00A83252" w:rsidRDefault="3E8A62EC" w:rsidP="00B50576">
            <w:pPr>
              <w:spacing w:after="0"/>
              <w:jc w:val="right"/>
              <w:rPr>
                <w:rFonts w:ascii="Calibri" w:hAnsi="Calibri" w:cs="Calibri"/>
              </w:rPr>
            </w:pPr>
            <w:r w:rsidRPr="00A83252">
              <w:rPr>
                <w:rFonts w:ascii="Calibri" w:hAnsi="Calibri" w:cs="Calibri"/>
              </w:rPr>
              <w:t>N/A</w:t>
            </w:r>
          </w:p>
        </w:tc>
      </w:tr>
    </w:tbl>
    <w:p w14:paraId="6E773182" w14:textId="77777777" w:rsidR="009B087C" w:rsidRPr="00A83252" w:rsidRDefault="009B087C" w:rsidP="009611DA">
      <w:pPr>
        <w:spacing w:after="0"/>
        <w:rPr>
          <w:rFonts w:cs="Arial"/>
          <w:color w:val="0B0C0C"/>
          <w:u w:val="single"/>
        </w:rPr>
      </w:pPr>
    </w:p>
    <w:p w14:paraId="39FCFF5C" w14:textId="77777777" w:rsidR="009B087C" w:rsidRPr="00A83252" w:rsidRDefault="009B087C" w:rsidP="009611DA">
      <w:pPr>
        <w:spacing w:after="0"/>
        <w:rPr>
          <w:rFonts w:cs="Arial"/>
          <w:color w:val="0B0C0C"/>
          <w:u w:val="single"/>
        </w:rPr>
      </w:pPr>
    </w:p>
    <w:p w14:paraId="6E0ACE08" w14:textId="77777777" w:rsidR="009B087C" w:rsidRPr="00A83252" w:rsidRDefault="009B087C" w:rsidP="009611DA">
      <w:pPr>
        <w:spacing w:after="0"/>
        <w:rPr>
          <w:rFonts w:cs="Arial"/>
          <w:color w:val="0B0C0C"/>
          <w:u w:val="single"/>
        </w:rPr>
      </w:pPr>
    </w:p>
    <w:p w14:paraId="2AC9AE06" w14:textId="0F963956" w:rsidR="001A526D" w:rsidRPr="00A83252" w:rsidRDefault="00A14F4D" w:rsidP="00A83252">
      <w:pPr>
        <w:pStyle w:val="ListParagraph"/>
        <w:ind w:left="426" w:hanging="426"/>
      </w:pPr>
      <w:r>
        <w:t>Social</w:t>
      </w:r>
      <w:r w:rsidR="001A526D" w:rsidRPr="00A83252">
        <w:t xml:space="preserve"> rent caps for 202</w:t>
      </w:r>
      <w:r w:rsidR="00C43440">
        <w:t>5</w:t>
      </w:r>
      <w:r w:rsidR="001A526D" w:rsidRPr="00A83252">
        <w:t>-2</w:t>
      </w:r>
      <w:r w:rsidR="00C43440">
        <w:t>6</w:t>
      </w:r>
      <w:r w:rsidR="00473867" w:rsidRPr="00A83252">
        <w:t xml:space="preserve"> </w:t>
      </w:r>
      <w:r w:rsidR="0046147D">
        <w:t xml:space="preserve">as set by </w:t>
      </w:r>
      <w:r w:rsidR="00852D7B">
        <w:t>the Government</w:t>
      </w:r>
      <w:r>
        <w:t xml:space="preserve"> are:</w:t>
      </w:r>
    </w:p>
    <w:p w14:paraId="55CBF63B" w14:textId="59253259" w:rsidR="002A4A7C" w:rsidRPr="005373A7" w:rsidRDefault="002A4A7C" w:rsidP="002A4A7C">
      <w:pPr>
        <w:pStyle w:val="ListParagraph"/>
        <w:numPr>
          <w:ilvl w:val="0"/>
          <w:numId w:val="0"/>
        </w:numPr>
        <w:spacing w:after="0"/>
        <w:ind w:left="720"/>
        <w:rPr>
          <w:rFonts w:cs="Arial"/>
          <w:color w:val="0B0C0C"/>
          <w:highlight w:val="yellow"/>
          <w:u w:val="single"/>
        </w:rPr>
      </w:pPr>
    </w:p>
    <w:tbl>
      <w:tblPr>
        <w:tblpPr w:leftFromText="180" w:rightFromText="180" w:vertAnchor="text" w:horzAnchor="margin" w:tblpXSpec="center" w:tblpY="134"/>
        <w:tblW w:w="6555" w:type="dxa"/>
        <w:shd w:val="clear" w:color="auto" w:fill="FFFFFF"/>
        <w:tblCellMar>
          <w:top w:w="15" w:type="dxa"/>
          <w:left w:w="15" w:type="dxa"/>
          <w:bottom w:w="15" w:type="dxa"/>
          <w:right w:w="15" w:type="dxa"/>
        </w:tblCellMar>
        <w:tblLook w:val="04A0" w:firstRow="1" w:lastRow="0" w:firstColumn="1" w:lastColumn="0" w:noHBand="0" w:noVBand="1"/>
      </w:tblPr>
      <w:tblGrid>
        <w:gridCol w:w="5295"/>
        <w:gridCol w:w="1260"/>
      </w:tblGrid>
      <w:tr w:rsidR="001A526D" w:rsidRPr="00AF72CF" w14:paraId="11202911" w14:textId="77777777" w:rsidTr="24ED910F">
        <w:trPr>
          <w:trHeight w:val="300"/>
          <w:tblHeader/>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1625D700" w14:textId="77777777" w:rsidR="001A526D" w:rsidRPr="00AF72CF" w:rsidRDefault="001A526D" w:rsidP="00F728B5">
            <w:pPr>
              <w:spacing w:after="0"/>
              <w:rPr>
                <w:rFonts w:cs="Arial"/>
                <w:b/>
                <w:bCs/>
                <w:color w:val="0B0C0C"/>
              </w:rPr>
            </w:pPr>
            <w:r w:rsidRPr="00AF72CF">
              <w:rPr>
                <w:rFonts w:cs="Arial"/>
                <w:b/>
                <w:bCs/>
                <w:color w:val="0B0C0C"/>
              </w:rPr>
              <w:t>Number of bedrooms</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44B5E507" w14:textId="77777777" w:rsidR="001A526D" w:rsidRPr="00AF72CF" w:rsidRDefault="001A526D" w:rsidP="00F728B5">
            <w:pPr>
              <w:spacing w:after="0"/>
              <w:rPr>
                <w:rFonts w:cs="Arial"/>
                <w:b/>
                <w:bCs/>
                <w:color w:val="0B0C0C"/>
              </w:rPr>
            </w:pPr>
            <w:r w:rsidRPr="00AF72CF">
              <w:rPr>
                <w:rFonts w:cs="Arial"/>
                <w:b/>
                <w:bCs/>
                <w:color w:val="0B0C0C"/>
              </w:rPr>
              <w:t>Rent cap</w:t>
            </w:r>
          </w:p>
        </w:tc>
      </w:tr>
      <w:tr w:rsidR="001A526D" w:rsidRPr="00AF72CF" w14:paraId="2632305E"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19D43DC1" w14:textId="77777777" w:rsidR="001A526D" w:rsidRPr="00AF72CF" w:rsidRDefault="001A526D" w:rsidP="00F728B5">
            <w:pPr>
              <w:spacing w:after="0"/>
              <w:rPr>
                <w:rFonts w:cs="Arial"/>
                <w:color w:val="0B0C0C"/>
              </w:rPr>
            </w:pPr>
            <w:r w:rsidRPr="00AF72CF">
              <w:rPr>
                <w:rFonts w:cs="Arial"/>
                <w:color w:val="0B0C0C"/>
              </w:rPr>
              <w:t>1 and bedsits</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7E51E103" w14:textId="3D379F65" w:rsidR="001A526D" w:rsidRPr="00AF72CF" w:rsidRDefault="001A526D" w:rsidP="00F728B5">
            <w:pPr>
              <w:spacing w:after="0"/>
              <w:rPr>
                <w:rFonts w:cs="Arial"/>
                <w:color w:val="0B0C0C"/>
              </w:rPr>
            </w:pPr>
            <w:r w:rsidRPr="00AF72CF">
              <w:rPr>
                <w:rFonts w:cs="Arial"/>
                <w:color w:val="0B0C0C"/>
              </w:rPr>
              <w:t>£</w:t>
            </w:r>
            <w:r w:rsidR="003677C4" w:rsidRPr="00AF72CF">
              <w:rPr>
                <w:rFonts w:cs="Arial"/>
                <w:color w:val="0B0C0C"/>
              </w:rPr>
              <w:t>1</w:t>
            </w:r>
            <w:r w:rsidR="00C43440">
              <w:rPr>
                <w:rFonts w:cs="Arial"/>
                <w:color w:val="0B0C0C"/>
              </w:rPr>
              <w:t>94</w:t>
            </w:r>
            <w:r w:rsidR="00AF72CF" w:rsidRPr="00AF72CF">
              <w:rPr>
                <w:rFonts w:cs="Arial"/>
                <w:color w:val="0B0C0C"/>
              </w:rPr>
              <w:t>.0</w:t>
            </w:r>
            <w:r w:rsidR="00C43440">
              <w:rPr>
                <w:rFonts w:cs="Arial"/>
                <w:color w:val="0B0C0C"/>
              </w:rPr>
              <w:t>6</w:t>
            </w:r>
          </w:p>
        </w:tc>
      </w:tr>
      <w:tr w:rsidR="001A526D" w:rsidRPr="00AF72CF" w14:paraId="2000156B"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6E765EC9" w14:textId="77777777" w:rsidR="001A526D" w:rsidRPr="00AF72CF" w:rsidRDefault="001A526D" w:rsidP="00F728B5">
            <w:pPr>
              <w:spacing w:after="0"/>
              <w:rPr>
                <w:rFonts w:cs="Arial"/>
                <w:color w:val="0B0C0C"/>
              </w:rPr>
            </w:pPr>
            <w:r w:rsidRPr="00AF72CF">
              <w:rPr>
                <w:rFonts w:cs="Arial"/>
                <w:color w:val="0B0C0C"/>
              </w:rPr>
              <w:t>2</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4E1F40A7" w14:textId="357FF0F5" w:rsidR="001A526D" w:rsidRPr="00AF72CF" w:rsidRDefault="001A526D" w:rsidP="00F728B5">
            <w:pPr>
              <w:spacing w:after="0"/>
              <w:rPr>
                <w:rFonts w:cs="Arial"/>
                <w:color w:val="0B0C0C"/>
              </w:rPr>
            </w:pPr>
            <w:r w:rsidRPr="00AF72CF">
              <w:rPr>
                <w:rFonts w:cs="Arial"/>
                <w:color w:val="0B0C0C"/>
              </w:rPr>
              <w:t>£</w:t>
            </w:r>
            <w:r w:rsidR="00BC1DC3">
              <w:rPr>
                <w:rFonts w:cs="Arial"/>
                <w:color w:val="0B0C0C"/>
              </w:rPr>
              <w:t>205.46</w:t>
            </w:r>
          </w:p>
        </w:tc>
      </w:tr>
      <w:tr w:rsidR="001A526D" w:rsidRPr="00AF72CF" w14:paraId="0A9B1022"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E42800A" w14:textId="77777777" w:rsidR="001A526D" w:rsidRPr="00AF72CF" w:rsidRDefault="001A526D" w:rsidP="00F728B5">
            <w:pPr>
              <w:spacing w:after="0"/>
              <w:rPr>
                <w:rFonts w:cs="Arial"/>
                <w:color w:val="0B0C0C"/>
              </w:rPr>
            </w:pPr>
            <w:r w:rsidRPr="00AF72CF">
              <w:rPr>
                <w:rFonts w:cs="Arial"/>
                <w:color w:val="0B0C0C"/>
              </w:rPr>
              <w:t>3</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1836D521" w14:textId="372417B2"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21</w:t>
            </w:r>
            <w:r w:rsidR="00BC1DC3">
              <w:rPr>
                <w:rFonts w:cs="Arial"/>
                <w:color w:val="0B0C0C"/>
              </w:rPr>
              <w:t>2.87</w:t>
            </w:r>
          </w:p>
        </w:tc>
      </w:tr>
      <w:tr w:rsidR="001A526D" w:rsidRPr="00AF72CF" w14:paraId="39CABE3B"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79C6A437" w14:textId="77777777" w:rsidR="001A526D" w:rsidRPr="00AF72CF" w:rsidRDefault="001A526D" w:rsidP="00F728B5">
            <w:pPr>
              <w:spacing w:after="0"/>
              <w:rPr>
                <w:rFonts w:cs="Arial"/>
                <w:color w:val="0B0C0C"/>
              </w:rPr>
            </w:pPr>
            <w:r w:rsidRPr="00AF72CF">
              <w:rPr>
                <w:rFonts w:cs="Arial"/>
                <w:color w:val="0B0C0C"/>
              </w:rPr>
              <w:t>4</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5496D734" w14:textId="58AA7605"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22</w:t>
            </w:r>
            <w:r w:rsidR="00BC1DC3">
              <w:rPr>
                <w:rFonts w:cs="Arial"/>
                <w:color w:val="0B0C0C"/>
              </w:rPr>
              <w:t>8.27</w:t>
            </w:r>
          </w:p>
        </w:tc>
      </w:tr>
      <w:tr w:rsidR="001A526D" w:rsidRPr="00AF72CF" w14:paraId="6617CE32"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1F0BD31" w14:textId="77777777" w:rsidR="001A526D" w:rsidRPr="00AF72CF" w:rsidRDefault="001A526D" w:rsidP="00F728B5">
            <w:pPr>
              <w:spacing w:after="0"/>
              <w:rPr>
                <w:rFonts w:cs="Arial"/>
                <w:color w:val="0B0C0C"/>
              </w:rPr>
            </w:pPr>
            <w:r w:rsidRPr="00AF72CF">
              <w:rPr>
                <w:rFonts w:cs="Arial"/>
                <w:color w:val="0B0C0C"/>
              </w:rPr>
              <w:t>5</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7B96DFE2" w14:textId="2899C8A3"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23</w:t>
            </w:r>
            <w:r w:rsidR="00BC1DC3">
              <w:rPr>
                <w:rFonts w:cs="Arial"/>
                <w:color w:val="0B0C0C"/>
              </w:rPr>
              <w:t>9.69</w:t>
            </w:r>
          </w:p>
        </w:tc>
      </w:tr>
      <w:tr w:rsidR="001A526D" w:rsidRPr="00AF72CF" w14:paraId="0EEFAE6C"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A4E3FFD" w14:textId="77777777" w:rsidR="001A526D" w:rsidRPr="00AF72CF" w:rsidRDefault="001A526D" w:rsidP="00F728B5">
            <w:pPr>
              <w:spacing w:after="0"/>
              <w:rPr>
                <w:rFonts w:cs="Arial"/>
                <w:color w:val="0B0C0C"/>
              </w:rPr>
            </w:pPr>
            <w:r w:rsidRPr="00AF72CF">
              <w:rPr>
                <w:rFonts w:cs="Arial"/>
                <w:color w:val="0B0C0C"/>
              </w:rPr>
              <w:lastRenderedPageBreak/>
              <w:t>6 or more</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66F98EFF" w14:textId="6BDD1C72"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w:t>
            </w:r>
            <w:r w:rsidR="00A14F4D">
              <w:rPr>
                <w:rFonts w:cs="Arial"/>
                <w:color w:val="0B0C0C"/>
              </w:rPr>
              <w:t>51.10</w:t>
            </w:r>
          </w:p>
        </w:tc>
      </w:tr>
    </w:tbl>
    <w:p w14:paraId="1C031A49" w14:textId="77777777" w:rsidR="001A526D" w:rsidRPr="00AF72CF" w:rsidRDefault="001A526D" w:rsidP="001A526D">
      <w:pPr>
        <w:spacing w:after="160" w:line="259" w:lineRule="auto"/>
        <w:rPr>
          <w:rFonts w:eastAsia="Calibri" w:cs="Arial"/>
          <w:color w:val="auto"/>
          <w:lang w:eastAsia="en-US"/>
        </w:rPr>
      </w:pPr>
    </w:p>
    <w:p w14:paraId="3E142D13" w14:textId="77777777" w:rsidR="001A526D" w:rsidRPr="00AF72CF" w:rsidRDefault="001A526D" w:rsidP="001A526D">
      <w:pPr>
        <w:spacing w:after="160" w:line="259" w:lineRule="auto"/>
        <w:rPr>
          <w:rFonts w:eastAsia="Calibri" w:cs="Arial"/>
          <w:b/>
          <w:color w:val="auto"/>
          <w:u w:val="single"/>
          <w:lang w:eastAsia="en-US"/>
        </w:rPr>
      </w:pPr>
    </w:p>
    <w:p w14:paraId="2712017A" w14:textId="77777777" w:rsidR="001A526D" w:rsidRPr="00AF72CF" w:rsidRDefault="001A526D" w:rsidP="001A526D">
      <w:pPr>
        <w:spacing w:after="160" w:line="259" w:lineRule="auto"/>
        <w:rPr>
          <w:rFonts w:eastAsia="Calibri" w:cs="Arial"/>
          <w:b/>
          <w:color w:val="auto"/>
          <w:u w:val="single"/>
          <w:lang w:eastAsia="en-US"/>
        </w:rPr>
      </w:pPr>
    </w:p>
    <w:p w14:paraId="78CF7B69" w14:textId="77777777" w:rsidR="001A526D" w:rsidRPr="00AF72CF" w:rsidRDefault="001A526D" w:rsidP="001A526D">
      <w:pPr>
        <w:spacing w:after="160" w:line="259" w:lineRule="auto"/>
        <w:rPr>
          <w:rFonts w:eastAsia="Calibri" w:cs="Arial"/>
          <w:b/>
          <w:color w:val="auto"/>
          <w:u w:val="single"/>
          <w:lang w:eastAsia="en-US"/>
        </w:rPr>
      </w:pPr>
    </w:p>
    <w:p w14:paraId="4ABE6008" w14:textId="77777777" w:rsidR="001A526D" w:rsidRPr="00AF72CF" w:rsidRDefault="001A526D" w:rsidP="001A526D">
      <w:pPr>
        <w:spacing w:after="160" w:line="259" w:lineRule="auto"/>
        <w:rPr>
          <w:rFonts w:eastAsia="Calibri" w:cs="Arial"/>
          <w:b/>
          <w:color w:val="auto"/>
          <w:u w:val="single"/>
          <w:lang w:eastAsia="en-US"/>
        </w:rPr>
      </w:pPr>
    </w:p>
    <w:p w14:paraId="0476FA89" w14:textId="77777777" w:rsidR="001A526D" w:rsidRPr="00AF72CF" w:rsidRDefault="001A526D" w:rsidP="001A526D">
      <w:pPr>
        <w:spacing w:after="160" w:line="259" w:lineRule="auto"/>
        <w:rPr>
          <w:rFonts w:eastAsia="Calibri" w:cs="Arial"/>
          <w:b/>
          <w:color w:val="auto"/>
          <w:u w:val="single"/>
          <w:lang w:eastAsia="en-US"/>
        </w:rPr>
      </w:pPr>
    </w:p>
    <w:p w14:paraId="63761543" w14:textId="77777777" w:rsidR="001A526D" w:rsidRPr="00AF72CF" w:rsidRDefault="001A526D" w:rsidP="001A526D">
      <w:pPr>
        <w:spacing w:after="160" w:line="259" w:lineRule="auto"/>
        <w:rPr>
          <w:rFonts w:eastAsia="Calibri" w:cs="Arial"/>
          <w:b/>
          <w:color w:val="auto"/>
          <w:u w:val="single"/>
          <w:lang w:eastAsia="en-US"/>
        </w:rPr>
      </w:pPr>
    </w:p>
    <w:p w14:paraId="441A8DB9" w14:textId="77777777" w:rsidR="001A526D" w:rsidRPr="00AF72CF" w:rsidRDefault="001A526D" w:rsidP="001A526D">
      <w:pPr>
        <w:spacing w:after="160" w:line="259" w:lineRule="auto"/>
        <w:rPr>
          <w:rFonts w:eastAsia="Calibri" w:cs="Arial"/>
          <w:b/>
          <w:color w:val="auto"/>
          <w:u w:val="single"/>
          <w:lang w:eastAsia="en-US"/>
        </w:rPr>
      </w:pPr>
    </w:p>
    <w:p w14:paraId="49BBB8A4" w14:textId="77777777" w:rsidR="001A526D" w:rsidRPr="00AF72CF" w:rsidRDefault="001A526D" w:rsidP="001A526D">
      <w:pPr>
        <w:spacing w:after="160" w:line="259" w:lineRule="auto"/>
        <w:rPr>
          <w:rFonts w:eastAsia="Calibri" w:cs="Arial"/>
          <w:b/>
          <w:color w:val="auto"/>
          <w:u w:val="single"/>
          <w:lang w:eastAsia="en-US"/>
        </w:rPr>
      </w:pPr>
    </w:p>
    <w:p w14:paraId="056281B4" w14:textId="77777777" w:rsidR="006540EA" w:rsidRPr="00AF72CF" w:rsidRDefault="006540EA" w:rsidP="00AC5DA2">
      <w:pPr>
        <w:pStyle w:val="ListParagraph"/>
        <w:numPr>
          <w:ilvl w:val="0"/>
          <w:numId w:val="0"/>
        </w:numPr>
        <w:spacing w:after="160" w:line="259" w:lineRule="auto"/>
        <w:ind w:left="720"/>
        <w:rPr>
          <w:rFonts w:eastAsia="Calibri" w:cs="Arial"/>
          <w:bCs/>
          <w:color w:val="auto"/>
          <w:u w:val="single"/>
          <w:lang w:eastAsia="en-US"/>
        </w:rPr>
      </w:pPr>
    </w:p>
    <w:p w14:paraId="1789E759" w14:textId="77777777" w:rsidR="003836FB" w:rsidRPr="00AF72CF" w:rsidRDefault="003836FB" w:rsidP="00AC5DA2">
      <w:pPr>
        <w:pStyle w:val="ListParagraph"/>
        <w:numPr>
          <w:ilvl w:val="0"/>
          <w:numId w:val="0"/>
        </w:numPr>
        <w:spacing w:after="160" w:line="259" w:lineRule="auto"/>
        <w:ind w:left="720"/>
        <w:rPr>
          <w:rFonts w:eastAsia="Calibri" w:cs="Arial"/>
          <w:bCs/>
          <w:color w:val="auto"/>
          <w:u w:val="single"/>
          <w:lang w:eastAsia="en-US"/>
        </w:rPr>
      </w:pPr>
    </w:p>
    <w:p w14:paraId="78EA4B47" w14:textId="77777777" w:rsidR="003836FB" w:rsidRPr="00E44189" w:rsidRDefault="003836FB" w:rsidP="00AC5DA2">
      <w:pPr>
        <w:pStyle w:val="ListParagraph"/>
        <w:numPr>
          <w:ilvl w:val="0"/>
          <w:numId w:val="0"/>
        </w:numPr>
        <w:spacing w:after="160" w:line="259" w:lineRule="auto"/>
        <w:ind w:left="720"/>
        <w:rPr>
          <w:rFonts w:eastAsia="Calibri" w:cs="Arial"/>
          <w:bCs/>
          <w:color w:val="auto"/>
          <w:u w:val="single"/>
          <w:lang w:eastAsia="en-US"/>
        </w:rPr>
      </w:pPr>
    </w:p>
    <w:p w14:paraId="47A37C9D" w14:textId="207D1062" w:rsidR="001A526D" w:rsidRPr="00E44189" w:rsidRDefault="001A526D" w:rsidP="00AC5DA2">
      <w:pPr>
        <w:pStyle w:val="ListParagraph"/>
        <w:numPr>
          <w:ilvl w:val="0"/>
          <w:numId w:val="0"/>
        </w:numPr>
        <w:spacing w:after="160" w:line="259" w:lineRule="auto"/>
        <w:ind w:left="720"/>
        <w:rPr>
          <w:rFonts w:eastAsia="Calibri" w:cs="Arial"/>
          <w:bCs/>
          <w:color w:val="auto"/>
          <w:u w:val="single"/>
          <w:lang w:eastAsia="en-US"/>
        </w:rPr>
      </w:pPr>
      <w:r w:rsidRPr="00E44189">
        <w:rPr>
          <w:rFonts w:eastAsia="Calibri" w:cs="Arial"/>
          <w:bCs/>
          <w:color w:val="auto"/>
          <w:u w:val="single"/>
          <w:lang w:eastAsia="en-US"/>
        </w:rPr>
        <w:t>Housing Benefit / Universal Credit Housing Cost Element</w:t>
      </w:r>
    </w:p>
    <w:p w14:paraId="64BF3413" w14:textId="3F8BA1C3" w:rsidR="008934A5" w:rsidRPr="00E44189" w:rsidRDefault="001A526D" w:rsidP="009361DD">
      <w:pPr>
        <w:pStyle w:val="ListParagraph"/>
        <w:spacing w:after="160" w:line="259" w:lineRule="auto"/>
        <w:ind w:left="709" w:hanging="567"/>
        <w:jc w:val="both"/>
        <w:rPr>
          <w:rFonts w:eastAsia="Calibri" w:cs="Arial"/>
          <w:color w:val="auto"/>
          <w:lang w:eastAsia="en-US"/>
        </w:rPr>
      </w:pPr>
      <w:r w:rsidRPr="00E44189">
        <w:rPr>
          <w:rFonts w:eastAsia="Calibri" w:cs="Arial"/>
          <w:color w:val="auto"/>
          <w:lang w:eastAsia="en-US"/>
        </w:rPr>
        <w:t xml:space="preserve">As at the end of </w:t>
      </w:r>
      <w:r w:rsidR="00BF0750" w:rsidRPr="00E44189">
        <w:rPr>
          <w:rFonts w:eastAsia="Calibri" w:cs="Arial"/>
          <w:color w:val="auto"/>
          <w:lang w:eastAsia="en-US"/>
        </w:rPr>
        <w:t>September</w:t>
      </w:r>
      <w:r w:rsidR="00B12DBD" w:rsidRPr="00E44189">
        <w:rPr>
          <w:rFonts w:eastAsia="Calibri" w:cs="Arial"/>
          <w:color w:val="auto"/>
          <w:lang w:eastAsia="en-US"/>
        </w:rPr>
        <w:t xml:space="preserve"> 202</w:t>
      </w:r>
      <w:r w:rsidR="00BF0750" w:rsidRPr="00E44189">
        <w:rPr>
          <w:rFonts w:eastAsia="Calibri" w:cs="Arial"/>
          <w:color w:val="auto"/>
          <w:lang w:eastAsia="en-US"/>
        </w:rPr>
        <w:t>4</w:t>
      </w:r>
      <w:r w:rsidRPr="00E44189">
        <w:rPr>
          <w:rFonts w:eastAsia="Calibri" w:cs="Arial"/>
          <w:color w:val="auto"/>
          <w:lang w:eastAsia="en-US"/>
        </w:rPr>
        <w:t xml:space="preserve"> there were a total of </w:t>
      </w:r>
      <w:r w:rsidR="00CF4E72">
        <w:rPr>
          <w:rFonts w:eastAsia="Calibri" w:cs="Arial"/>
          <w:color w:val="auto"/>
          <w:lang w:eastAsia="en-US"/>
        </w:rPr>
        <w:t>5,149</w:t>
      </w:r>
      <w:r w:rsidRPr="00E44189">
        <w:rPr>
          <w:rFonts w:eastAsia="Calibri" w:cs="Arial"/>
          <w:color w:val="auto"/>
          <w:lang w:eastAsia="en-US"/>
        </w:rPr>
        <w:t xml:space="preserve"> HRA tenants </w:t>
      </w:r>
      <w:r w:rsidRPr="00CF4E72">
        <w:rPr>
          <w:rFonts w:eastAsia="Calibri" w:cs="Arial"/>
          <w:color w:val="auto"/>
          <w:lang w:eastAsia="en-US"/>
        </w:rPr>
        <w:t>(</w:t>
      </w:r>
      <w:r w:rsidR="00CF4E72" w:rsidRPr="00CF4E72">
        <w:rPr>
          <w:rFonts w:eastAsia="Calibri" w:cs="Arial"/>
          <w:color w:val="auto"/>
          <w:lang w:eastAsia="en-US"/>
        </w:rPr>
        <w:t>67</w:t>
      </w:r>
      <w:r w:rsidRPr="00CF4E72">
        <w:rPr>
          <w:rFonts w:eastAsia="Calibri" w:cs="Arial"/>
          <w:color w:val="auto"/>
          <w:lang w:eastAsia="en-US"/>
        </w:rPr>
        <w:t>%)</w:t>
      </w:r>
      <w:r w:rsidRPr="00E875B1">
        <w:rPr>
          <w:rFonts w:eastAsia="Calibri" w:cs="Arial"/>
          <w:color w:val="auto"/>
          <w:lang w:eastAsia="en-US"/>
        </w:rPr>
        <w:t xml:space="preserve"> </w:t>
      </w:r>
      <w:r w:rsidRPr="00E44189">
        <w:rPr>
          <w:rFonts w:eastAsia="Calibri" w:cs="Arial"/>
          <w:color w:val="auto"/>
          <w:lang w:eastAsia="en-US"/>
        </w:rPr>
        <w:t xml:space="preserve">claiming Housing Benefit or the Housing Cost element of Universal Credit, made up of </w:t>
      </w:r>
      <w:r w:rsidR="00A40003">
        <w:rPr>
          <w:rFonts w:eastAsia="Calibri" w:cs="Arial"/>
          <w:color w:val="auto"/>
          <w:lang w:eastAsia="en-US"/>
        </w:rPr>
        <w:t>1,875</w:t>
      </w:r>
      <w:r w:rsidRPr="00E44189">
        <w:rPr>
          <w:rFonts w:eastAsia="Calibri" w:cs="Arial"/>
          <w:color w:val="auto"/>
          <w:lang w:eastAsia="en-US"/>
        </w:rPr>
        <w:t xml:space="preserve"> Housing Benefit claimants and </w:t>
      </w:r>
      <w:r w:rsidR="00B57A6F">
        <w:rPr>
          <w:rFonts w:eastAsia="Calibri" w:cs="Arial"/>
          <w:color w:val="auto"/>
          <w:lang w:eastAsia="en-US"/>
        </w:rPr>
        <w:t>3,27</w:t>
      </w:r>
      <w:r w:rsidR="00877054">
        <w:rPr>
          <w:rFonts w:eastAsia="Calibri" w:cs="Arial"/>
          <w:color w:val="auto"/>
          <w:lang w:eastAsia="en-US"/>
        </w:rPr>
        <w:t>4</w:t>
      </w:r>
      <w:r w:rsidRPr="00E44189">
        <w:rPr>
          <w:rFonts w:eastAsia="Calibri" w:cs="Arial"/>
          <w:color w:val="auto"/>
          <w:lang w:eastAsia="en-US"/>
        </w:rPr>
        <w:t xml:space="preserve"> Universal Credit claimants. The amount claimed by each tenant will vary depending on their individual circumstances.</w:t>
      </w:r>
    </w:p>
    <w:p w14:paraId="795F98D0" w14:textId="2F1679AF" w:rsidR="008934A5" w:rsidRPr="00B403EE" w:rsidRDefault="001A526D" w:rsidP="006540EA">
      <w:pPr>
        <w:pStyle w:val="ListParagraph"/>
        <w:numPr>
          <w:ilvl w:val="0"/>
          <w:numId w:val="0"/>
        </w:numPr>
        <w:spacing w:after="160" w:line="259" w:lineRule="auto"/>
        <w:ind w:left="720"/>
        <w:jc w:val="both"/>
        <w:rPr>
          <w:rFonts w:eastAsia="Calibri" w:cs="Arial"/>
          <w:color w:val="auto"/>
          <w:lang w:eastAsia="en-US"/>
        </w:rPr>
      </w:pPr>
      <w:r w:rsidRPr="00B403EE">
        <w:rPr>
          <w:rFonts w:eastAsia="Calibri" w:cs="Arial"/>
          <w:color w:val="auto"/>
          <w:lang w:eastAsia="en-US"/>
        </w:rPr>
        <w:t>As Social Rents are based on formula rent, the maximum amount housing benefit will cover is 100% of the rent depending on the tenants’ eligibility and financial circumstances.</w:t>
      </w:r>
    </w:p>
    <w:p w14:paraId="6BF3692F" w14:textId="77777777" w:rsidR="006540EA" w:rsidRPr="00EF7CA2" w:rsidRDefault="006540EA" w:rsidP="006540EA">
      <w:pPr>
        <w:pStyle w:val="ListParagraph"/>
        <w:numPr>
          <w:ilvl w:val="0"/>
          <w:numId w:val="0"/>
        </w:numPr>
        <w:spacing w:after="160" w:line="259" w:lineRule="auto"/>
        <w:ind w:left="720"/>
        <w:jc w:val="both"/>
        <w:rPr>
          <w:rFonts w:eastAsia="Calibri" w:cs="Arial"/>
          <w:color w:val="auto"/>
          <w:lang w:eastAsia="en-US"/>
        </w:rPr>
      </w:pPr>
    </w:p>
    <w:p w14:paraId="06C2FB5A" w14:textId="1118CFF3" w:rsidR="001A526D" w:rsidRPr="00EF7CA2" w:rsidRDefault="001A526D" w:rsidP="00A83252">
      <w:pPr>
        <w:pStyle w:val="ListParagraph"/>
        <w:tabs>
          <w:tab w:val="clear" w:pos="426"/>
          <w:tab w:val="left" w:pos="709"/>
        </w:tabs>
        <w:spacing w:after="160" w:line="259" w:lineRule="auto"/>
        <w:ind w:left="709" w:hanging="709"/>
        <w:jc w:val="both"/>
        <w:rPr>
          <w:rFonts w:eastAsia="Calibri" w:cs="Arial"/>
          <w:color w:val="auto"/>
          <w:lang w:eastAsia="en-US"/>
        </w:rPr>
      </w:pPr>
      <w:r w:rsidRPr="00EF7CA2">
        <w:rPr>
          <w:rFonts w:eastAsia="Calibri" w:cs="Arial"/>
          <w:color w:val="auto"/>
          <w:lang w:eastAsia="en-US"/>
        </w:rPr>
        <w:t>For Affordable Rents, the current Local Housing Allowance Rates for Oxford are set out below. These are the maximum eligible rents to be used when calculating Housing Benefit for Affordable Rental Properties.</w:t>
      </w:r>
      <w:r w:rsidR="008E3CFC" w:rsidRPr="00EF7CA2">
        <w:rPr>
          <w:rFonts w:eastAsia="Calibri" w:cs="Arial"/>
          <w:color w:val="auto"/>
          <w:lang w:eastAsia="en-US"/>
        </w:rPr>
        <w:t xml:space="preserve"> </w:t>
      </w:r>
    </w:p>
    <w:tbl>
      <w:tblPr>
        <w:tblW w:w="8639" w:type="dxa"/>
        <w:tblInd w:w="672" w:type="dxa"/>
        <w:tblBorders>
          <w:top w:val="single" w:sz="6" w:space="0" w:color="878787"/>
          <w:left w:val="single" w:sz="6" w:space="0" w:color="878787"/>
          <w:bottom w:val="single" w:sz="6" w:space="0" w:color="878787"/>
          <w:right w:val="single" w:sz="6" w:space="0" w:color="878787"/>
        </w:tblBorders>
        <w:shd w:val="clear" w:color="auto" w:fill="FFFFFF"/>
        <w:tblCellMar>
          <w:top w:w="30" w:type="dxa"/>
          <w:left w:w="30" w:type="dxa"/>
          <w:bottom w:w="30" w:type="dxa"/>
          <w:right w:w="30" w:type="dxa"/>
        </w:tblCellMar>
        <w:tblLook w:val="04A0" w:firstRow="1" w:lastRow="0" w:firstColumn="1" w:lastColumn="0" w:noHBand="0" w:noVBand="1"/>
        <w:tblDescription w:val="Local Housing Allowance Rates from April 2021"/>
      </w:tblPr>
      <w:tblGrid>
        <w:gridCol w:w="4954"/>
        <w:gridCol w:w="1842"/>
        <w:gridCol w:w="1843"/>
      </w:tblGrid>
      <w:tr w:rsidR="001A526D" w:rsidRPr="00EF7CA2" w14:paraId="5B73AB4E" w14:textId="77777777" w:rsidTr="00B12DBD">
        <w:trPr>
          <w:tblHeader/>
        </w:trPr>
        <w:tc>
          <w:tcPr>
            <w:tcW w:w="8639" w:type="dxa"/>
            <w:gridSpan w:val="3"/>
            <w:tcBorders>
              <w:top w:val="nil"/>
              <w:left w:val="nil"/>
              <w:bottom w:val="nil"/>
              <w:right w:val="nil"/>
            </w:tcBorders>
            <w:shd w:val="clear" w:color="auto" w:fill="F3F5F5"/>
            <w:vAlign w:val="center"/>
            <w:hideMark/>
          </w:tcPr>
          <w:p w14:paraId="01314D6B" w14:textId="4AFDEE41" w:rsidR="001A526D" w:rsidRPr="00EF7CA2" w:rsidRDefault="001A526D" w:rsidP="001A526D">
            <w:pPr>
              <w:spacing w:before="100" w:beforeAutospacing="1" w:after="100" w:afterAutospacing="1"/>
              <w:rPr>
                <w:rFonts w:cs="Arial"/>
                <w:color w:val="263238"/>
              </w:rPr>
            </w:pPr>
            <w:r w:rsidRPr="00EF7CA2">
              <w:rPr>
                <w:rFonts w:cs="Arial"/>
                <w:b/>
                <w:bCs/>
                <w:color w:val="263238"/>
              </w:rPr>
              <w:t>Local Housing Allowance Rates for 202</w:t>
            </w:r>
            <w:r w:rsidR="005A303D">
              <w:rPr>
                <w:rFonts w:cs="Arial"/>
                <w:b/>
                <w:bCs/>
                <w:color w:val="263238"/>
              </w:rPr>
              <w:t>5</w:t>
            </w:r>
            <w:r w:rsidRPr="00EF7CA2">
              <w:rPr>
                <w:rFonts w:cs="Arial"/>
                <w:b/>
                <w:bCs/>
                <w:color w:val="263238"/>
              </w:rPr>
              <w:t>/2</w:t>
            </w:r>
            <w:r w:rsidR="005A303D">
              <w:rPr>
                <w:rFonts w:cs="Arial"/>
                <w:b/>
                <w:bCs/>
                <w:color w:val="263238"/>
              </w:rPr>
              <w:t>6</w:t>
            </w:r>
            <w:r w:rsidR="009B651E">
              <w:rPr>
                <w:rFonts w:cs="Arial"/>
                <w:b/>
                <w:bCs/>
                <w:color w:val="263238"/>
              </w:rPr>
              <w:t xml:space="preserve"> </w:t>
            </w:r>
            <w:r w:rsidR="009B651E" w:rsidRPr="009361DD">
              <w:rPr>
                <w:rFonts w:cs="Arial"/>
                <w:color w:val="4F81BD" w:themeColor="accent1"/>
                <w:sz w:val="20"/>
                <w:szCs w:val="20"/>
              </w:rPr>
              <w:t>(</w:t>
            </w:r>
            <w:r w:rsidR="005A303D">
              <w:rPr>
                <w:rFonts w:cs="Arial"/>
                <w:color w:val="4F81BD" w:themeColor="accent1"/>
                <w:sz w:val="20"/>
                <w:szCs w:val="20"/>
              </w:rPr>
              <w:t>Maintained at</w:t>
            </w:r>
            <w:r w:rsidR="009B651E" w:rsidRPr="009361DD">
              <w:rPr>
                <w:rFonts w:cs="Arial"/>
                <w:color w:val="4F81BD" w:themeColor="accent1"/>
                <w:sz w:val="20"/>
                <w:szCs w:val="20"/>
              </w:rPr>
              <w:t xml:space="preserve"> 202</w:t>
            </w:r>
            <w:r w:rsidR="005A303D">
              <w:rPr>
                <w:rFonts w:cs="Arial"/>
                <w:color w:val="4F81BD" w:themeColor="accent1"/>
                <w:sz w:val="20"/>
                <w:szCs w:val="20"/>
              </w:rPr>
              <w:t>4</w:t>
            </w:r>
            <w:r w:rsidR="009B651E" w:rsidRPr="009361DD">
              <w:rPr>
                <w:rFonts w:cs="Arial"/>
                <w:color w:val="4F81BD" w:themeColor="accent1"/>
                <w:sz w:val="20"/>
                <w:szCs w:val="20"/>
              </w:rPr>
              <w:t>/2</w:t>
            </w:r>
            <w:r w:rsidR="005A303D">
              <w:rPr>
                <w:rFonts w:cs="Arial"/>
                <w:color w:val="4F81BD" w:themeColor="accent1"/>
                <w:sz w:val="20"/>
                <w:szCs w:val="20"/>
              </w:rPr>
              <w:t>5 levels</w:t>
            </w:r>
            <w:r w:rsidR="009B651E" w:rsidRPr="009361DD">
              <w:rPr>
                <w:rFonts w:cs="Arial"/>
                <w:color w:val="4F81BD" w:themeColor="accent1"/>
                <w:sz w:val="20"/>
                <w:szCs w:val="20"/>
              </w:rPr>
              <w:t>)</w:t>
            </w:r>
          </w:p>
        </w:tc>
      </w:tr>
      <w:tr w:rsidR="001A526D" w:rsidRPr="00EF7CA2" w14:paraId="7746B92E" w14:textId="77777777" w:rsidTr="00B12DBD">
        <w:trPr>
          <w:tblHeader/>
        </w:trPr>
        <w:tc>
          <w:tcPr>
            <w:tcW w:w="4954" w:type="dxa"/>
            <w:tcBorders>
              <w:top w:val="outset" w:sz="6" w:space="0" w:color="auto"/>
              <w:left w:val="outset" w:sz="6" w:space="0" w:color="auto"/>
              <w:bottom w:val="single" w:sz="6" w:space="0" w:color="878787"/>
              <w:right w:val="outset" w:sz="6" w:space="0" w:color="auto"/>
            </w:tcBorders>
            <w:shd w:val="clear" w:color="auto" w:fill="F3F5F5"/>
            <w:vAlign w:val="center"/>
            <w:hideMark/>
          </w:tcPr>
          <w:p w14:paraId="7F7FBA55" w14:textId="77777777" w:rsidR="001A526D" w:rsidRPr="00EF7CA2" w:rsidRDefault="001A526D" w:rsidP="001A526D">
            <w:pPr>
              <w:spacing w:after="0"/>
              <w:rPr>
                <w:rFonts w:cs="Arial"/>
                <w:b/>
                <w:bCs/>
                <w:color w:val="37474F"/>
              </w:rPr>
            </w:pPr>
            <w:r w:rsidRPr="00EF7CA2">
              <w:rPr>
                <w:rFonts w:cs="Arial"/>
                <w:b/>
                <w:bCs/>
                <w:color w:val="37474F"/>
              </w:rPr>
              <w:t>Number of Bedrooms</w:t>
            </w:r>
          </w:p>
        </w:tc>
        <w:tc>
          <w:tcPr>
            <w:tcW w:w="1842" w:type="dxa"/>
            <w:tcBorders>
              <w:top w:val="outset" w:sz="6" w:space="0" w:color="auto"/>
              <w:left w:val="single" w:sz="6" w:space="0" w:color="878787"/>
              <w:bottom w:val="single" w:sz="6" w:space="0" w:color="878787"/>
              <w:right w:val="outset" w:sz="6" w:space="0" w:color="auto"/>
            </w:tcBorders>
            <w:shd w:val="clear" w:color="auto" w:fill="F3F5F5"/>
            <w:vAlign w:val="center"/>
            <w:hideMark/>
          </w:tcPr>
          <w:p w14:paraId="621C42DE" w14:textId="77777777" w:rsidR="001A526D" w:rsidRPr="00EF7CA2" w:rsidRDefault="001A526D" w:rsidP="001A526D">
            <w:pPr>
              <w:spacing w:after="0"/>
              <w:jc w:val="center"/>
              <w:rPr>
                <w:rFonts w:cs="Arial"/>
                <w:b/>
                <w:bCs/>
                <w:color w:val="37474F"/>
              </w:rPr>
            </w:pPr>
            <w:r w:rsidRPr="00EF7CA2">
              <w:rPr>
                <w:rFonts w:cs="Arial"/>
                <w:b/>
                <w:bCs/>
                <w:color w:val="37474F"/>
              </w:rPr>
              <w:t>£ per week</w:t>
            </w:r>
          </w:p>
        </w:tc>
        <w:tc>
          <w:tcPr>
            <w:tcW w:w="1843" w:type="dxa"/>
            <w:tcBorders>
              <w:top w:val="outset" w:sz="6" w:space="0" w:color="auto"/>
              <w:left w:val="single" w:sz="6" w:space="0" w:color="878787"/>
              <w:bottom w:val="single" w:sz="6" w:space="0" w:color="878787"/>
              <w:right w:val="outset" w:sz="6" w:space="0" w:color="auto"/>
            </w:tcBorders>
            <w:shd w:val="clear" w:color="auto" w:fill="F3F5F5"/>
            <w:vAlign w:val="center"/>
            <w:hideMark/>
          </w:tcPr>
          <w:p w14:paraId="713E1F61" w14:textId="77777777" w:rsidR="001A526D" w:rsidRPr="00EF7CA2" w:rsidRDefault="001A526D" w:rsidP="001A526D">
            <w:pPr>
              <w:spacing w:after="0"/>
              <w:jc w:val="center"/>
              <w:rPr>
                <w:rFonts w:cs="Arial"/>
                <w:b/>
                <w:bCs/>
                <w:color w:val="37474F"/>
              </w:rPr>
            </w:pPr>
            <w:r w:rsidRPr="00EF7CA2">
              <w:rPr>
                <w:rFonts w:cs="Arial"/>
                <w:b/>
                <w:bCs/>
                <w:color w:val="37474F"/>
              </w:rPr>
              <w:t>£ per month</w:t>
            </w:r>
          </w:p>
        </w:tc>
      </w:tr>
      <w:tr w:rsidR="001A526D" w:rsidRPr="00EF7CA2" w14:paraId="296C624A" w14:textId="77777777" w:rsidTr="00B12DBD">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6F3B1E1B" w14:textId="77777777" w:rsidR="001A526D" w:rsidRPr="00EF7CA2" w:rsidRDefault="001A526D" w:rsidP="001A526D">
            <w:pPr>
              <w:spacing w:after="0"/>
              <w:rPr>
                <w:rFonts w:cs="Arial"/>
                <w:color w:val="37474F"/>
              </w:rPr>
            </w:pPr>
            <w:r w:rsidRPr="00EF7CA2">
              <w:rPr>
                <w:rFonts w:cs="Arial"/>
                <w:color w:val="37474F"/>
              </w:rPr>
              <w:t>Room in Shared Accommodation</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9FEF083" w14:textId="67F02B4F" w:rsidR="001A526D" w:rsidRPr="00EF7CA2" w:rsidRDefault="001A526D" w:rsidP="001A526D">
            <w:pPr>
              <w:spacing w:after="0"/>
              <w:jc w:val="right"/>
              <w:rPr>
                <w:rFonts w:cs="Arial"/>
                <w:color w:val="37474F"/>
              </w:rPr>
            </w:pPr>
            <w:r w:rsidRPr="00EF7CA2">
              <w:rPr>
                <w:rFonts w:cs="Arial"/>
                <w:color w:val="37474F"/>
              </w:rPr>
              <w:t>1</w:t>
            </w:r>
            <w:r w:rsidR="00536002" w:rsidRPr="00EF7CA2">
              <w:rPr>
                <w:rFonts w:cs="Arial"/>
                <w:color w:val="37474F"/>
              </w:rPr>
              <w:t>26.58</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545DB16C" w14:textId="0DF4921B" w:rsidR="001A526D" w:rsidRPr="00EF7CA2" w:rsidRDefault="00536002" w:rsidP="001A526D">
            <w:pPr>
              <w:spacing w:after="0"/>
              <w:jc w:val="right"/>
              <w:rPr>
                <w:rFonts w:cs="Arial"/>
                <w:color w:val="37474F"/>
              </w:rPr>
            </w:pPr>
            <w:r w:rsidRPr="00EF7CA2">
              <w:rPr>
                <w:rFonts w:cs="Arial"/>
                <w:color w:val="37474F"/>
              </w:rPr>
              <w:t>550.02</w:t>
            </w:r>
          </w:p>
        </w:tc>
      </w:tr>
      <w:tr w:rsidR="001A526D" w:rsidRPr="00EF7CA2" w14:paraId="54B15A5B" w14:textId="77777777" w:rsidTr="00B12DBD">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E03737F" w14:textId="77777777" w:rsidR="001A526D" w:rsidRPr="00EF7CA2" w:rsidRDefault="001A526D" w:rsidP="001A526D">
            <w:pPr>
              <w:spacing w:after="0"/>
              <w:rPr>
                <w:rFonts w:cs="Arial"/>
                <w:color w:val="37474F"/>
              </w:rPr>
            </w:pPr>
            <w:r w:rsidRPr="00EF7CA2">
              <w:rPr>
                <w:rFonts w:cs="Arial"/>
                <w:color w:val="37474F"/>
              </w:rPr>
              <w:t>1 Bedroom</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257294F9" w14:textId="1CC3B2CC" w:rsidR="001A526D" w:rsidRPr="00EF7CA2" w:rsidRDefault="00536002" w:rsidP="001A526D">
            <w:pPr>
              <w:spacing w:after="0"/>
              <w:jc w:val="right"/>
              <w:rPr>
                <w:rFonts w:cs="Arial"/>
                <w:color w:val="37474F"/>
              </w:rPr>
            </w:pPr>
            <w:r w:rsidRPr="00EF7CA2">
              <w:rPr>
                <w:rFonts w:cs="Arial"/>
                <w:color w:val="37474F"/>
              </w:rPr>
              <w:t>207.12</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7C9D306" w14:textId="44026F42" w:rsidR="001A526D" w:rsidRPr="00EF7CA2" w:rsidRDefault="00536002" w:rsidP="001A526D">
            <w:pPr>
              <w:spacing w:after="0"/>
              <w:jc w:val="right"/>
              <w:rPr>
                <w:rFonts w:cs="Arial"/>
                <w:color w:val="37474F"/>
              </w:rPr>
            </w:pPr>
            <w:r w:rsidRPr="00EF7CA2">
              <w:rPr>
                <w:rFonts w:cs="Arial"/>
                <w:color w:val="37474F"/>
              </w:rPr>
              <w:t>899.99</w:t>
            </w:r>
          </w:p>
        </w:tc>
      </w:tr>
      <w:tr w:rsidR="001A526D" w:rsidRPr="00EF7CA2" w14:paraId="208E3F7F"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2E43258" w14:textId="77777777" w:rsidR="001A526D" w:rsidRPr="00EF7CA2" w:rsidRDefault="001A526D" w:rsidP="001A526D">
            <w:pPr>
              <w:spacing w:after="0"/>
              <w:rPr>
                <w:rFonts w:cs="Arial"/>
                <w:color w:val="37474F"/>
              </w:rPr>
            </w:pPr>
            <w:r w:rsidRPr="00EF7CA2">
              <w:rPr>
                <w:rFonts w:cs="Arial"/>
                <w:color w:val="37474F"/>
              </w:rPr>
              <w:t>2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776C3946" w14:textId="52484038" w:rsidR="001A526D" w:rsidRPr="00EF7CA2" w:rsidRDefault="00663125" w:rsidP="001A526D">
            <w:pPr>
              <w:spacing w:after="0"/>
              <w:jc w:val="right"/>
              <w:rPr>
                <w:rFonts w:cs="Arial"/>
                <w:color w:val="37474F"/>
              </w:rPr>
            </w:pPr>
            <w:r w:rsidRPr="00EF7CA2">
              <w:rPr>
                <w:rFonts w:cs="Arial"/>
                <w:color w:val="37474F"/>
              </w:rPr>
              <w:t>258.90</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0DDE346F" w14:textId="0EFC388A" w:rsidR="001A526D" w:rsidRPr="00EF7CA2" w:rsidRDefault="009D6D3A" w:rsidP="001A526D">
            <w:pPr>
              <w:spacing w:after="0"/>
              <w:jc w:val="right"/>
              <w:rPr>
                <w:rFonts w:cs="Arial"/>
                <w:color w:val="37474F"/>
              </w:rPr>
            </w:pPr>
            <w:r w:rsidRPr="00EF7CA2">
              <w:rPr>
                <w:rFonts w:cs="Arial"/>
                <w:color w:val="37474F"/>
              </w:rPr>
              <w:t>1,124.98</w:t>
            </w:r>
          </w:p>
        </w:tc>
      </w:tr>
      <w:tr w:rsidR="001A526D" w:rsidRPr="00EF7CA2" w14:paraId="3D92EA1B"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0C26B552" w14:textId="77777777" w:rsidR="001A526D" w:rsidRPr="00EF7CA2" w:rsidRDefault="001A526D" w:rsidP="001A526D">
            <w:pPr>
              <w:spacing w:after="0"/>
              <w:rPr>
                <w:rFonts w:cs="Arial"/>
                <w:color w:val="37474F"/>
              </w:rPr>
            </w:pPr>
            <w:r w:rsidRPr="00EF7CA2">
              <w:rPr>
                <w:rFonts w:cs="Arial"/>
                <w:color w:val="37474F"/>
              </w:rPr>
              <w:t>3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406B785" w14:textId="381C52CF" w:rsidR="001A526D" w:rsidRPr="00EF7CA2" w:rsidRDefault="00663125" w:rsidP="001A526D">
            <w:pPr>
              <w:spacing w:after="0"/>
              <w:jc w:val="right"/>
              <w:rPr>
                <w:rFonts w:cs="Arial"/>
                <w:color w:val="37474F"/>
              </w:rPr>
            </w:pPr>
            <w:r w:rsidRPr="00EF7CA2">
              <w:rPr>
                <w:rFonts w:cs="Arial"/>
                <w:color w:val="37474F"/>
              </w:rPr>
              <w:t>304.93</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50BB5403" w14:textId="73F166A8" w:rsidR="001A526D" w:rsidRPr="00EF7CA2" w:rsidRDefault="009D6D3A" w:rsidP="001A526D">
            <w:pPr>
              <w:spacing w:after="0"/>
              <w:jc w:val="right"/>
              <w:rPr>
                <w:rFonts w:cs="Arial"/>
                <w:color w:val="37474F"/>
              </w:rPr>
            </w:pPr>
            <w:r w:rsidRPr="00EF7CA2">
              <w:rPr>
                <w:rFonts w:cs="Arial"/>
                <w:color w:val="37474F"/>
              </w:rPr>
              <w:t>1,324.99</w:t>
            </w:r>
          </w:p>
        </w:tc>
      </w:tr>
      <w:tr w:rsidR="001A526D" w:rsidRPr="005373A7" w14:paraId="0F1B4EFD"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82BE0AE" w14:textId="77777777" w:rsidR="001A526D" w:rsidRPr="00EF7CA2" w:rsidRDefault="001A526D" w:rsidP="001A526D">
            <w:pPr>
              <w:spacing w:after="0"/>
              <w:rPr>
                <w:rFonts w:cs="Arial"/>
                <w:color w:val="37474F"/>
              </w:rPr>
            </w:pPr>
            <w:r w:rsidRPr="00EF7CA2">
              <w:rPr>
                <w:rFonts w:cs="Arial"/>
                <w:color w:val="37474F"/>
              </w:rPr>
              <w:t>4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56574901" w14:textId="686F41B3" w:rsidR="00663125" w:rsidRPr="00EF7CA2" w:rsidRDefault="00663125" w:rsidP="00663125">
            <w:pPr>
              <w:spacing w:after="0"/>
              <w:jc w:val="right"/>
              <w:rPr>
                <w:rFonts w:cs="Arial"/>
                <w:color w:val="37474F"/>
              </w:rPr>
            </w:pPr>
            <w:r w:rsidRPr="00EF7CA2">
              <w:rPr>
                <w:rFonts w:cs="Arial"/>
                <w:color w:val="37474F"/>
              </w:rPr>
              <w:t>402.74</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6D988460" w14:textId="7B7FE141" w:rsidR="001A526D" w:rsidRPr="00EF7CA2" w:rsidRDefault="009D6D3A" w:rsidP="001A526D">
            <w:pPr>
              <w:spacing w:after="0"/>
              <w:jc w:val="right"/>
              <w:rPr>
                <w:rFonts w:cs="Arial"/>
                <w:color w:val="37474F"/>
              </w:rPr>
            </w:pPr>
            <w:r w:rsidRPr="00EF7CA2">
              <w:rPr>
                <w:rFonts w:cs="Arial"/>
                <w:color w:val="37474F"/>
              </w:rPr>
              <w:t>1,750.00</w:t>
            </w:r>
          </w:p>
        </w:tc>
      </w:tr>
    </w:tbl>
    <w:p w14:paraId="5C7F03E3" w14:textId="77777777" w:rsidR="00B600EE" w:rsidRPr="005373A7" w:rsidRDefault="00B600EE" w:rsidP="00B600EE">
      <w:pPr>
        <w:pStyle w:val="bParagraphtext"/>
        <w:numPr>
          <w:ilvl w:val="0"/>
          <w:numId w:val="0"/>
        </w:numPr>
        <w:ind w:left="426" w:hanging="426"/>
        <w:rPr>
          <w:rStyle w:val="Firstpagetablebold"/>
          <w:rFonts w:cs="Arial"/>
          <w:b w:val="0"/>
          <w:highlight w:val="yellow"/>
        </w:rPr>
      </w:pPr>
    </w:p>
    <w:p w14:paraId="7C2BD449" w14:textId="77777777" w:rsidR="00C315E1" w:rsidRPr="005373A7" w:rsidRDefault="00C315E1" w:rsidP="00C315E1">
      <w:pPr>
        <w:pStyle w:val="bParagraphtext"/>
        <w:numPr>
          <w:ilvl w:val="0"/>
          <w:numId w:val="0"/>
        </w:numPr>
        <w:ind w:left="426"/>
        <w:rPr>
          <w:rStyle w:val="Firstpagetablebold"/>
          <w:b w:val="0"/>
          <w:highlight w:val="yellow"/>
        </w:rPr>
      </w:pPr>
    </w:p>
    <w:p w14:paraId="101DE004" w14:textId="77777777" w:rsidR="0040736F" w:rsidRPr="007C3C3D" w:rsidRDefault="002329CF" w:rsidP="002B6836">
      <w:pPr>
        <w:pStyle w:val="Heading1"/>
      </w:pPr>
      <w:r w:rsidRPr="007C3C3D">
        <w:t>Financial implications</w:t>
      </w:r>
    </w:p>
    <w:p w14:paraId="64EAE172" w14:textId="17966B63" w:rsidR="004D7AEB" w:rsidRPr="007C3C3D" w:rsidRDefault="003A4615" w:rsidP="00BB41C2">
      <w:pPr>
        <w:pStyle w:val="ListParagraph"/>
        <w:tabs>
          <w:tab w:val="clear" w:pos="426"/>
          <w:tab w:val="left" w:pos="709"/>
        </w:tabs>
        <w:ind w:left="709" w:hanging="709"/>
        <w:jc w:val="both"/>
      </w:pPr>
      <w:r>
        <w:lastRenderedPageBreak/>
        <w:t>A</w:t>
      </w:r>
      <w:r w:rsidR="004D7AEB">
        <w:t xml:space="preserve"> recent HRA Strategic Review undertaken by </w:t>
      </w:r>
      <w:r w:rsidR="6ECF05C6">
        <w:t>external consultants</w:t>
      </w:r>
      <w:r w:rsidR="004D7AEB">
        <w:t xml:space="preserve"> </w:t>
      </w:r>
      <w:r w:rsidR="00AF3A00">
        <w:t xml:space="preserve">identified that the HRA </w:t>
      </w:r>
      <w:r w:rsidR="00AD3DFE">
        <w:t>faced a</w:t>
      </w:r>
      <w:r>
        <w:t xml:space="preserve">n </w:t>
      </w:r>
      <w:r w:rsidR="00AD3DFE">
        <w:t xml:space="preserve">uncertain financial future within the next 10 years </w:t>
      </w:r>
      <w:r w:rsidR="0094240B">
        <w:t xml:space="preserve">due to the </w:t>
      </w:r>
      <w:r w:rsidR="00E63467">
        <w:t xml:space="preserve">scale of </w:t>
      </w:r>
      <w:r w:rsidR="00293B5C">
        <w:t xml:space="preserve">investment required </w:t>
      </w:r>
      <w:r w:rsidR="0044198D">
        <w:t>because of</w:t>
      </w:r>
      <w:r w:rsidR="00293B5C">
        <w:t xml:space="preserve"> the </w:t>
      </w:r>
      <w:r w:rsidR="0094240B">
        <w:t>demands placed on it by new legislation and housing standards. As a result</w:t>
      </w:r>
      <w:r w:rsidR="00C115BC">
        <w:t>,</w:t>
      </w:r>
      <w:r w:rsidR="004D7AEB">
        <w:t xml:space="preserve"> the HRA </w:t>
      </w:r>
      <w:r w:rsidR="3F9812B0">
        <w:t xml:space="preserve">needs to </w:t>
      </w:r>
      <w:r w:rsidR="004D7AEB">
        <w:t>maximise its income streams</w:t>
      </w:r>
      <w:r w:rsidR="002260D5">
        <w:t xml:space="preserve"> where </w:t>
      </w:r>
      <w:r w:rsidR="00D50002">
        <w:t>permissible</w:t>
      </w:r>
      <w:r w:rsidR="004D7AEB">
        <w:t xml:space="preserve">. Implementing the maximum </w:t>
      </w:r>
      <w:r w:rsidR="00724370">
        <w:t xml:space="preserve">rent </w:t>
      </w:r>
      <w:r w:rsidR="004D7AEB">
        <w:t>increase allowed by government would help the HRA to meet its legal obligations and remain viable going forward.</w:t>
      </w:r>
    </w:p>
    <w:p w14:paraId="0E04AFFA" w14:textId="6283082B" w:rsidR="24ED910F" w:rsidRDefault="24ED910F" w:rsidP="002E794F">
      <w:pPr>
        <w:pStyle w:val="ListParagraph"/>
        <w:numPr>
          <w:ilvl w:val="0"/>
          <w:numId w:val="0"/>
        </w:numPr>
        <w:ind w:left="720"/>
        <w:jc w:val="both"/>
      </w:pPr>
    </w:p>
    <w:p w14:paraId="6A4C1F54" w14:textId="66420514" w:rsidR="0005320C" w:rsidRPr="00464A21" w:rsidRDefault="000F4099" w:rsidP="00BB41C2">
      <w:pPr>
        <w:pStyle w:val="ListParagraph"/>
        <w:tabs>
          <w:tab w:val="clear" w:pos="426"/>
          <w:tab w:val="left" w:pos="709"/>
        </w:tabs>
        <w:ind w:left="709" w:hanging="709"/>
        <w:jc w:val="both"/>
        <w:rPr>
          <w:rStyle w:val="bParagraphtextChar"/>
        </w:rPr>
      </w:pPr>
      <w:r w:rsidRPr="00464A21">
        <w:rPr>
          <w:rStyle w:val="bParagraphtextChar"/>
        </w:rPr>
        <w:t>A</w:t>
      </w:r>
      <w:r w:rsidR="007553F3" w:rsidRPr="00464A21">
        <w:rPr>
          <w:rStyle w:val="bParagraphtextChar"/>
        </w:rPr>
        <w:t xml:space="preserve"> rent increase </w:t>
      </w:r>
      <w:r w:rsidR="00D135FD" w:rsidRPr="00464A21">
        <w:rPr>
          <w:rStyle w:val="bParagraphtextChar"/>
        </w:rPr>
        <w:t xml:space="preserve">that is lower than </w:t>
      </w:r>
      <w:r w:rsidR="00462C6C" w:rsidRPr="00464A21">
        <w:rPr>
          <w:rStyle w:val="bParagraphtextChar"/>
        </w:rPr>
        <w:t>inflation will have a detrimental impact</w:t>
      </w:r>
      <w:r w:rsidR="00AB595C" w:rsidRPr="00464A21">
        <w:rPr>
          <w:rStyle w:val="bParagraphtextChar"/>
        </w:rPr>
        <w:t xml:space="preserve"> on the viability </w:t>
      </w:r>
      <w:r w:rsidR="00E40EFF" w:rsidRPr="00464A21">
        <w:rPr>
          <w:rStyle w:val="bParagraphtextChar"/>
        </w:rPr>
        <w:tab/>
      </w:r>
      <w:r w:rsidR="00AB595C" w:rsidRPr="00464A21">
        <w:rPr>
          <w:rStyle w:val="bParagraphtextChar"/>
        </w:rPr>
        <w:t xml:space="preserve">of the HRA as </w:t>
      </w:r>
      <w:r w:rsidR="003912FA" w:rsidRPr="00464A21">
        <w:rPr>
          <w:rStyle w:val="bParagraphtextChar"/>
        </w:rPr>
        <w:t>the income will</w:t>
      </w:r>
      <w:r w:rsidR="007553F3" w:rsidRPr="00464A21">
        <w:rPr>
          <w:rStyle w:val="bParagraphtextChar"/>
        </w:rPr>
        <w:t xml:space="preserve"> not be able to keep pace with rising costs</w:t>
      </w:r>
      <w:r w:rsidR="000C265F" w:rsidRPr="00464A21">
        <w:rPr>
          <w:rStyle w:val="bParagraphtextChar"/>
        </w:rPr>
        <w:t xml:space="preserve"> and </w:t>
      </w:r>
      <w:r w:rsidR="003912FA" w:rsidRPr="00464A21">
        <w:rPr>
          <w:rStyle w:val="bParagraphtextChar"/>
        </w:rPr>
        <w:t xml:space="preserve">as a </w:t>
      </w:r>
      <w:r w:rsidR="00E40EFF" w:rsidRPr="00464A21">
        <w:rPr>
          <w:rStyle w:val="bParagraphtextChar"/>
        </w:rPr>
        <w:tab/>
      </w:r>
      <w:r w:rsidR="003912FA" w:rsidRPr="00464A21">
        <w:rPr>
          <w:rStyle w:val="bParagraphtextChar"/>
        </w:rPr>
        <w:t xml:space="preserve">consequence </w:t>
      </w:r>
      <w:r w:rsidR="000C265F" w:rsidRPr="00464A21">
        <w:rPr>
          <w:rStyle w:val="bParagraphtextChar"/>
        </w:rPr>
        <w:t xml:space="preserve">would be </w:t>
      </w:r>
      <w:r w:rsidR="00F6214A" w:rsidRPr="00464A21">
        <w:rPr>
          <w:rStyle w:val="bParagraphtextChar"/>
        </w:rPr>
        <w:t>at risk</w:t>
      </w:r>
      <w:r w:rsidR="000C265F" w:rsidRPr="00464A21">
        <w:rPr>
          <w:rStyle w:val="bParagraphtextChar"/>
        </w:rPr>
        <w:t xml:space="preserve"> of failing its tenants</w:t>
      </w:r>
      <w:r w:rsidR="00F6214A" w:rsidRPr="00464A21">
        <w:rPr>
          <w:rStyle w:val="bParagraphtextChar"/>
        </w:rPr>
        <w:t xml:space="preserve"> in the supply of services and </w:t>
      </w:r>
      <w:r w:rsidR="00E40EFF" w:rsidRPr="00464A21">
        <w:rPr>
          <w:rStyle w:val="bParagraphtextChar"/>
        </w:rPr>
        <w:tab/>
      </w:r>
      <w:r w:rsidR="00F6214A" w:rsidRPr="00464A21">
        <w:rPr>
          <w:rStyle w:val="bParagraphtextChar"/>
        </w:rPr>
        <w:t>support</w:t>
      </w:r>
      <w:r w:rsidR="000C265F" w:rsidRPr="00464A21">
        <w:rPr>
          <w:rStyle w:val="bParagraphtextChar"/>
        </w:rPr>
        <w:t>.</w:t>
      </w:r>
    </w:p>
    <w:p w14:paraId="70AEBEC5" w14:textId="2C631589" w:rsidR="00612E2A" w:rsidRPr="001B507C" w:rsidRDefault="00612E2A">
      <w:pPr>
        <w:spacing w:after="0"/>
        <w:rPr>
          <w:rStyle w:val="bParagraphtextChar"/>
        </w:rPr>
      </w:pPr>
    </w:p>
    <w:p w14:paraId="6527A7FB" w14:textId="315E2E15" w:rsidR="00E87F7A" w:rsidRPr="001B507C" w:rsidRDefault="00D7602B" w:rsidP="00BB41C2">
      <w:pPr>
        <w:pStyle w:val="ListParagraph"/>
        <w:tabs>
          <w:tab w:val="clear" w:pos="426"/>
          <w:tab w:val="left" w:pos="709"/>
        </w:tabs>
        <w:ind w:left="709" w:hanging="709"/>
        <w:jc w:val="both"/>
        <w:rPr>
          <w:rStyle w:val="bParagraphtextChar"/>
        </w:rPr>
      </w:pPr>
      <w:r w:rsidRPr="001B507C">
        <w:rPr>
          <w:rStyle w:val="bParagraphtextChar"/>
        </w:rPr>
        <w:t xml:space="preserve">The CPI rate </w:t>
      </w:r>
      <w:r w:rsidR="00472C40" w:rsidRPr="001B507C">
        <w:rPr>
          <w:rStyle w:val="bParagraphtextChar"/>
        </w:rPr>
        <w:t xml:space="preserve">for the 12 months </w:t>
      </w:r>
      <w:r w:rsidR="00D33501" w:rsidRPr="001B507C">
        <w:rPr>
          <w:rStyle w:val="bParagraphtextChar"/>
        </w:rPr>
        <w:t>to the end of</w:t>
      </w:r>
      <w:r w:rsidRPr="001B507C">
        <w:rPr>
          <w:rStyle w:val="bParagraphtextChar"/>
        </w:rPr>
        <w:t xml:space="preserve"> September 202</w:t>
      </w:r>
      <w:r w:rsidR="00E11B6B" w:rsidRPr="001B507C">
        <w:rPr>
          <w:rStyle w:val="bParagraphtextChar"/>
        </w:rPr>
        <w:t>4</w:t>
      </w:r>
      <w:r w:rsidRPr="001B507C">
        <w:rPr>
          <w:rStyle w:val="bParagraphtextChar"/>
        </w:rPr>
        <w:t xml:space="preserve"> was </w:t>
      </w:r>
      <w:r w:rsidR="00E11B6B" w:rsidRPr="001B507C">
        <w:rPr>
          <w:rStyle w:val="bParagraphtextChar"/>
        </w:rPr>
        <w:t>1</w:t>
      </w:r>
      <w:r w:rsidRPr="001B507C">
        <w:rPr>
          <w:rStyle w:val="bParagraphtextChar"/>
        </w:rPr>
        <w:t>.7%</w:t>
      </w:r>
      <w:r w:rsidR="00BC1801">
        <w:rPr>
          <w:rStyle w:val="bParagraphtextChar"/>
        </w:rPr>
        <w:t xml:space="preserve"> giving a proposed increase of 2.7%. Average weekly social rents </w:t>
      </w:r>
      <w:r w:rsidR="00AB0B22">
        <w:rPr>
          <w:rStyle w:val="bParagraphtextChar"/>
        </w:rPr>
        <w:t>by ward are provided in Appendix 1</w:t>
      </w:r>
      <w:r w:rsidR="003F3CE2">
        <w:rPr>
          <w:rStyle w:val="bParagraphtextChar"/>
        </w:rPr>
        <w:t xml:space="preserve"> alongside the proposed increases and Formula Rent</w:t>
      </w:r>
      <w:r w:rsidR="00AB0B22">
        <w:rPr>
          <w:rStyle w:val="bParagraphtextChar"/>
        </w:rPr>
        <w:t xml:space="preserve">. </w:t>
      </w:r>
      <w:r w:rsidR="001C0A1E" w:rsidRPr="001B507C">
        <w:rPr>
          <w:rStyle w:val="bParagraphtextChar"/>
        </w:rPr>
        <w:t>For</w:t>
      </w:r>
      <w:r w:rsidR="00AB0B22">
        <w:rPr>
          <w:rStyle w:val="bParagraphtextChar"/>
        </w:rPr>
        <w:t xml:space="preserve"> </w:t>
      </w:r>
      <w:r w:rsidR="00F912CA" w:rsidRPr="001B507C">
        <w:rPr>
          <w:rStyle w:val="bParagraphtextChar"/>
        </w:rPr>
        <w:t xml:space="preserve">comparison purposes the impact on </w:t>
      </w:r>
      <w:r w:rsidR="00450D9D">
        <w:rPr>
          <w:rStyle w:val="bParagraphtextChar"/>
        </w:rPr>
        <w:t xml:space="preserve">a range of </w:t>
      </w:r>
      <w:r w:rsidR="00F912CA" w:rsidRPr="001B507C">
        <w:rPr>
          <w:rStyle w:val="bParagraphtextChar"/>
        </w:rPr>
        <w:t>rents is shown in the table below</w:t>
      </w:r>
      <w:r w:rsidR="001C0A1E" w:rsidRPr="001B507C">
        <w:rPr>
          <w:rStyle w:val="bParagraphtextChar"/>
        </w:rPr>
        <w:t xml:space="preserve"> using </w:t>
      </w:r>
      <w:r w:rsidR="00A34714" w:rsidRPr="001B507C">
        <w:rPr>
          <w:rStyle w:val="bParagraphtextChar"/>
        </w:rPr>
        <w:t xml:space="preserve">the </w:t>
      </w:r>
      <w:r w:rsidR="001B507C">
        <w:rPr>
          <w:rStyle w:val="bParagraphtextChar"/>
        </w:rPr>
        <w:t xml:space="preserve">rate of </w:t>
      </w:r>
      <w:r w:rsidR="00297285" w:rsidRPr="001B507C">
        <w:rPr>
          <w:rStyle w:val="bParagraphtextChar"/>
        </w:rPr>
        <w:t>CPI+1%</w:t>
      </w:r>
      <w:r w:rsidR="00E11B6B" w:rsidRPr="001B507C">
        <w:rPr>
          <w:rStyle w:val="bParagraphtextChar"/>
        </w:rPr>
        <w:t xml:space="preserve"> </w:t>
      </w:r>
      <w:r w:rsidR="00297285" w:rsidRPr="001B507C">
        <w:rPr>
          <w:rStyle w:val="bParagraphtextChar"/>
        </w:rPr>
        <w:t xml:space="preserve">of </w:t>
      </w:r>
      <w:r w:rsidR="00E11B6B" w:rsidRPr="001B507C">
        <w:rPr>
          <w:rStyle w:val="bParagraphtextChar"/>
        </w:rPr>
        <w:t>2</w:t>
      </w:r>
      <w:r w:rsidR="00297285" w:rsidRPr="001B507C">
        <w:rPr>
          <w:rStyle w:val="bParagraphtextChar"/>
        </w:rPr>
        <w:t xml:space="preserve">.7% </w:t>
      </w:r>
      <w:r w:rsidR="00F912CA" w:rsidRPr="001B507C">
        <w:rPr>
          <w:rStyle w:val="bParagraphtextChar"/>
        </w:rPr>
        <w:t>:</w:t>
      </w:r>
    </w:p>
    <w:p w14:paraId="49C5D89A" w14:textId="77777777" w:rsidR="00332A15" w:rsidRPr="005373A7" w:rsidRDefault="00332A15" w:rsidP="00332A15">
      <w:pPr>
        <w:pStyle w:val="ListParagraph"/>
        <w:numPr>
          <w:ilvl w:val="0"/>
          <w:numId w:val="0"/>
        </w:numPr>
        <w:ind w:left="426"/>
        <w:jc w:val="both"/>
        <w:rPr>
          <w:rStyle w:val="bParagraphtextChar"/>
          <w:highlight w:val="yellow"/>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01"/>
        <w:gridCol w:w="1701"/>
        <w:gridCol w:w="1843"/>
        <w:gridCol w:w="1984"/>
        <w:gridCol w:w="1374"/>
      </w:tblGrid>
      <w:tr w:rsidR="006C3E4A" w:rsidRPr="005373A7" w14:paraId="1D3AE3E1" w14:textId="50B368E9" w:rsidTr="00852D7B">
        <w:trPr>
          <w:trHeight w:val="1160"/>
        </w:trPr>
        <w:tc>
          <w:tcPr>
            <w:tcW w:w="992" w:type="dxa"/>
            <w:shd w:val="clear" w:color="auto" w:fill="auto"/>
            <w:vAlign w:val="center"/>
            <w:hideMark/>
          </w:tcPr>
          <w:p w14:paraId="15720F5A" w14:textId="77777777" w:rsidR="006C3E4A" w:rsidRPr="00EB198E" w:rsidRDefault="006C3E4A" w:rsidP="00B50576">
            <w:pPr>
              <w:spacing w:after="0"/>
              <w:jc w:val="center"/>
              <w:rPr>
                <w:rFonts w:ascii="Calibri" w:hAnsi="Calibri" w:cs="Calibri"/>
              </w:rPr>
            </w:pPr>
            <w:r w:rsidRPr="00EB198E">
              <w:rPr>
                <w:rFonts w:ascii="Calibri" w:hAnsi="Calibri" w:cs="Calibri"/>
              </w:rPr>
              <w:t>Rent Increase</w:t>
            </w:r>
          </w:p>
        </w:tc>
        <w:tc>
          <w:tcPr>
            <w:tcW w:w="1701" w:type="dxa"/>
            <w:shd w:val="clear" w:color="auto" w:fill="auto"/>
            <w:vAlign w:val="center"/>
            <w:hideMark/>
          </w:tcPr>
          <w:p w14:paraId="53C39B4D" w14:textId="308DBDD8" w:rsidR="006C3E4A" w:rsidRPr="00EB198E" w:rsidRDefault="006C3E4A" w:rsidP="00B50576">
            <w:pPr>
              <w:spacing w:after="0"/>
              <w:jc w:val="center"/>
              <w:rPr>
                <w:rFonts w:ascii="Calibri" w:hAnsi="Calibri" w:cs="Calibri"/>
              </w:rPr>
            </w:pPr>
            <w:r w:rsidRPr="00EB198E">
              <w:rPr>
                <w:rFonts w:ascii="Calibri" w:hAnsi="Calibri" w:cs="Calibri"/>
              </w:rPr>
              <w:t xml:space="preserve">Weekly Increase based on </w:t>
            </w:r>
            <w:r w:rsidRPr="00EB198E">
              <w:rPr>
                <w:rFonts w:ascii="Calibri" w:hAnsi="Calibri" w:cs="Calibri"/>
                <w:b/>
                <w:bCs/>
              </w:rPr>
              <w:t>Average Social Rent</w:t>
            </w:r>
            <w:r w:rsidRPr="00EB198E">
              <w:rPr>
                <w:rFonts w:ascii="Calibri" w:hAnsi="Calibri" w:cs="Calibri"/>
              </w:rPr>
              <w:t xml:space="preserve"> of £</w:t>
            </w:r>
            <w:r w:rsidR="00240E5A" w:rsidRPr="00EB198E">
              <w:rPr>
                <w:rFonts w:ascii="Calibri" w:hAnsi="Calibri" w:cs="Calibri"/>
              </w:rPr>
              <w:t>130.17</w:t>
            </w:r>
          </w:p>
        </w:tc>
        <w:tc>
          <w:tcPr>
            <w:tcW w:w="1701" w:type="dxa"/>
            <w:shd w:val="clear" w:color="auto" w:fill="auto"/>
            <w:vAlign w:val="center"/>
            <w:hideMark/>
          </w:tcPr>
          <w:p w14:paraId="1229CE3D" w14:textId="5B85F2D0" w:rsidR="006C3E4A" w:rsidRPr="00EB198E" w:rsidRDefault="006C3E4A" w:rsidP="00B50576">
            <w:pPr>
              <w:spacing w:after="0"/>
              <w:jc w:val="center"/>
              <w:rPr>
                <w:rFonts w:ascii="Calibri" w:hAnsi="Calibri" w:cs="Calibri"/>
              </w:rPr>
            </w:pPr>
            <w:r w:rsidRPr="00EB198E">
              <w:rPr>
                <w:rFonts w:ascii="Calibri" w:hAnsi="Calibri" w:cs="Calibri"/>
              </w:rPr>
              <w:t xml:space="preserve">Weekly Increase based on </w:t>
            </w:r>
            <w:r w:rsidRPr="00EB198E">
              <w:rPr>
                <w:rFonts w:ascii="Calibri" w:hAnsi="Calibri" w:cs="Calibri"/>
                <w:b/>
                <w:bCs/>
              </w:rPr>
              <w:t>Maximum Social Rent</w:t>
            </w:r>
            <w:r w:rsidRPr="00EB198E">
              <w:rPr>
                <w:rFonts w:ascii="Calibri" w:hAnsi="Calibri" w:cs="Calibri"/>
              </w:rPr>
              <w:t xml:space="preserve"> of £</w:t>
            </w:r>
            <w:r w:rsidR="00EB198E" w:rsidRPr="00EB198E">
              <w:rPr>
                <w:rFonts w:ascii="Calibri" w:hAnsi="Calibri" w:cs="Calibri"/>
              </w:rPr>
              <w:t>243.31</w:t>
            </w:r>
          </w:p>
        </w:tc>
        <w:tc>
          <w:tcPr>
            <w:tcW w:w="1843" w:type="dxa"/>
            <w:shd w:val="clear" w:color="auto" w:fill="auto"/>
            <w:vAlign w:val="center"/>
            <w:hideMark/>
          </w:tcPr>
          <w:p w14:paraId="68D9B7E6" w14:textId="57610734" w:rsidR="003D05DC" w:rsidRPr="003D05DC" w:rsidRDefault="006C3E4A" w:rsidP="003D05DC">
            <w:pPr>
              <w:spacing w:after="0"/>
              <w:jc w:val="center"/>
              <w:rPr>
                <w:rFonts w:ascii="Calibri" w:hAnsi="Calibri" w:cs="Calibri"/>
              </w:rPr>
            </w:pPr>
            <w:r w:rsidRPr="003D05DC">
              <w:rPr>
                <w:rFonts w:ascii="Calibri" w:hAnsi="Calibri" w:cs="Calibri"/>
              </w:rPr>
              <w:t xml:space="preserve">Weekly Increase based on </w:t>
            </w:r>
            <w:r w:rsidRPr="003D05DC">
              <w:rPr>
                <w:rFonts w:ascii="Calibri" w:hAnsi="Calibri" w:cs="Calibri"/>
                <w:b/>
                <w:bCs/>
              </w:rPr>
              <w:t>Average Affordable Rent</w:t>
            </w:r>
            <w:r w:rsidRPr="003D05DC">
              <w:rPr>
                <w:rFonts w:ascii="Calibri" w:hAnsi="Calibri" w:cs="Calibri"/>
              </w:rPr>
              <w:t xml:space="preserve"> of £2</w:t>
            </w:r>
            <w:r w:rsidR="000649D0" w:rsidRPr="003D05DC">
              <w:rPr>
                <w:rFonts w:ascii="Calibri" w:hAnsi="Calibri" w:cs="Calibri"/>
              </w:rPr>
              <w:t>31.57</w:t>
            </w:r>
          </w:p>
        </w:tc>
        <w:tc>
          <w:tcPr>
            <w:tcW w:w="1984" w:type="dxa"/>
            <w:shd w:val="clear" w:color="auto" w:fill="auto"/>
            <w:vAlign w:val="center"/>
            <w:hideMark/>
          </w:tcPr>
          <w:p w14:paraId="0370E62C" w14:textId="30A81726" w:rsidR="006C3E4A" w:rsidRPr="003D05DC" w:rsidRDefault="006C3E4A" w:rsidP="00B50576">
            <w:pPr>
              <w:spacing w:after="0"/>
              <w:jc w:val="center"/>
              <w:rPr>
                <w:rFonts w:ascii="Calibri" w:hAnsi="Calibri" w:cs="Calibri"/>
              </w:rPr>
            </w:pPr>
            <w:r w:rsidRPr="003D05DC">
              <w:rPr>
                <w:rFonts w:ascii="Calibri" w:hAnsi="Calibri" w:cs="Calibri"/>
              </w:rPr>
              <w:t xml:space="preserve">Weekly Increase based on </w:t>
            </w:r>
            <w:r w:rsidRPr="003D05DC">
              <w:rPr>
                <w:rFonts w:ascii="Calibri" w:hAnsi="Calibri" w:cs="Calibri"/>
                <w:b/>
                <w:bCs/>
              </w:rPr>
              <w:t>Maximum Affordable Rent</w:t>
            </w:r>
            <w:r w:rsidRPr="003D05DC">
              <w:rPr>
                <w:rFonts w:ascii="Calibri" w:hAnsi="Calibri" w:cs="Calibri"/>
              </w:rPr>
              <w:t xml:space="preserve"> of £</w:t>
            </w:r>
            <w:r w:rsidR="003D05DC" w:rsidRPr="003D05DC">
              <w:rPr>
                <w:rFonts w:ascii="Calibri" w:hAnsi="Calibri" w:cs="Calibri"/>
              </w:rPr>
              <w:t>303.69</w:t>
            </w:r>
          </w:p>
        </w:tc>
        <w:tc>
          <w:tcPr>
            <w:tcW w:w="1418" w:type="dxa"/>
          </w:tcPr>
          <w:p w14:paraId="0DCC89B7" w14:textId="3A703B87" w:rsidR="006C3E4A" w:rsidRPr="003D05DC" w:rsidRDefault="00D41298" w:rsidP="00B50576">
            <w:pPr>
              <w:spacing w:after="0"/>
              <w:jc w:val="center"/>
              <w:rPr>
                <w:rFonts w:ascii="Calibri" w:hAnsi="Calibri" w:cs="Calibri"/>
              </w:rPr>
            </w:pPr>
            <w:r w:rsidRPr="003D05DC">
              <w:rPr>
                <w:rFonts w:ascii="Calibri" w:hAnsi="Calibri" w:cs="Calibri"/>
              </w:rPr>
              <w:t xml:space="preserve">Total </w:t>
            </w:r>
            <w:r w:rsidR="00041A0B" w:rsidRPr="003D05DC">
              <w:rPr>
                <w:rFonts w:ascii="Calibri" w:hAnsi="Calibri" w:cs="Calibri"/>
              </w:rPr>
              <w:t xml:space="preserve">Annual </w:t>
            </w:r>
            <w:r w:rsidRPr="003D05DC">
              <w:rPr>
                <w:rFonts w:ascii="Calibri" w:hAnsi="Calibri" w:cs="Calibri"/>
              </w:rPr>
              <w:t>Increase</w:t>
            </w:r>
            <w:r w:rsidR="00041A0B" w:rsidRPr="003D05DC">
              <w:rPr>
                <w:rFonts w:ascii="Calibri" w:hAnsi="Calibri" w:cs="Calibri"/>
              </w:rPr>
              <w:t xml:space="preserve"> to HRA </w:t>
            </w:r>
            <w:r w:rsidR="0038312C" w:rsidRPr="003D05DC">
              <w:rPr>
                <w:rFonts w:ascii="Calibri" w:hAnsi="Calibri" w:cs="Calibri"/>
              </w:rPr>
              <w:t xml:space="preserve">Rental </w:t>
            </w:r>
            <w:r w:rsidR="00041A0B" w:rsidRPr="003D05DC">
              <w:rPr>
                <w:rFonts w:ascii="Calibri" w:hAnsi="Calibri" w:cs="Calibri"/>
              </w:rPr>
              <w:t>Income</w:t>
            </w:r>
          </w:p>
        </w:tc>
      </w:tr>
      <w:tr w:rsidR="006C3E4A" w:rsidRPr="005373A7" w14:paraId="2DDA39FB" w14:textId="09194286" w:rsidTr="00852D7B">
        <w:trPr>
          <w:trHeight w:val="290"/>
        </w:trPr>
        <w:tc>
          <w:tcPr>
            <w:tcW w:w="992" w:type="dxa"/>
            <w:shd w:val="clear" w:color="auto" w:fill="auto"/>
            <w:noWrap/>
            <w:vAlign w:val="center"/>
            <w:hideMark/>
          </w:tcPr>
          <w:p w14:paraId="7744E38F" w14:textId="7B292695" w:rsidR="006C3E4A" w:rsidRPr="005E3E53" w:rsidRDefault="001B507C" w:rsidP="00B50576">
            <w:pPr>
              <w:spacing w:after="0"/>
              <w:jc w:val="center"/>
              <w:rPr>
                <w:rFonts w:ascii="Calibri" w:hAnsi="Calibri" w:cs="Calibri"/>
              </w:rPr>
            </w:pPr>
            <w:r w:rsidRPr="005E3E53">
              <w:rPr>
                <w:rFonts w:ascii="Calibri" w:hAnsi="Calibri" w:cs="Calibri"/>
              </w:rPr>
              <w:t>2</w:t>
            </w:r>
            <w:r w:rsidR="006C3E4A" w:rsidRPr="005E3E53">
              <w:rPr>
                <w:rFonts w:ascii="Calibri" w:hAnsi="Calibri" w:cs="Calibri"/>
              </w:rPr>
              <w:t>.7%</w:t>
            </w:r>
          </w:p>
        </w:tc>
        <w:tc>
          <w:tcPr>
            <w:tcW w:w="1701" w:type="dxa"/>
            <w:shd w:val="clear" w:color="auto" w:fill="auto"/>
            <w:noWrap/>
            <w:vAlign w:val="center"/>
            <w:hideMark/>
          </w:tcPr>
          <w:p w14:paraId="28DAE754" w14:textId="066BFEFB" w:rsidR="006C3E4A" w:rsidRPr="005E3E53" w:rsidRDefault="006C3E4A" w:rsidP="00B50576">
            <w:pPr>
              <w:spacing w:after="0"/>
              <w:jc w:val="right"/>
              <w:rPr>
                <w:rFonts w:ascii="Calibri" w:hAnsi="Calibri" w:cs="Calibri"/>
              </w:rPr>
            </w:pPr>
            <w:r w:rsidRPr="005E3E53">
              <w:rPr>
                <w:rFonts w:ascii="Calibri" w:hAnsi="Calibri" w:cs="Calibri"/>
              </w:rPr>
              <w:t>£</w:t>
            </w:r>
            <w:r w:rsidR="00215A93" w:rsidRPr="005E3E53">
              <w:rPr>
                <w:rFonts w:ascii="Calibri" w:hAnsi="Calibri" w:cs="Calibri"/>
              </w:rPr>
              <w:t>3.51</w:t>
            </w:r>
          </w:p>
        </w:tc>
        <w:tc>
          <w:tcPr>
            <w:tcW w:w="1701" w:type="dxa"/>
            <w:shd w:val="clear" w:color="auto" w:fill="auto"/>
            <w:noWrap/>
            <w:vAlign w:val="center"/>
            <w:hideMark/>
          </w:tcPr>
          <w:p w14:paraId="70E93716" w14:textId="5E8D0074" w:rsidR="006C3E4A" w:rsidRPr="005E3E53" w:rsidRDefault="006C3E4A" w:rsidP="00B50576">
            <w:pPr>
              <w:spacing w:after="0"/>
              <w:jc w:val="right"/>
              <w:rPr>
                <w:rFonts w:ascii="Calibri" w:hAnsi="Calibri" w:cs="Calibri"/>
              </w:rPr>
            </w:pPr>
            <w:r w:rsidRPr="005E3E53">
              <w:rPr>
                <w:rFonts w:ascii="Calibri" w:hAnsi="Calibri" w:cs="Calibri"/>
              </w:rPr>
              <w:t>£</w:t>
            </w:r>
            <w:r w:rsidR="00215A93" w:rsidRPr="005E3E53">
              <w:rPr>
                <w:rFonts w:ascii="Calibri" w:hAnsi="Calibri" w:cs="Calibri"/>
              </w:rPr>
              <w:t>6.57</w:t>
            </w:r>
          </w:p>
        </w:tc>
        <w:tc>
          <w:tcPr>
            <w:tcW w:w="1843" w:type="dxa"/>
            <w:shd w:val="clear" w:color="auto" w:fill="auto"/>
            <w:noWrap/>
            <w:vAlign w:val="center"/>
            <w:hideMark/>
          </w:tcPr>
          <w:p w14:paraId="3DF34253" w14:textId="2EA92636" w:rsidR="006C3E4A" w:rsidRPr="005E3E53" w:rsidRDefault="006C3E4A" w:rsidP="00B50576">
            <w:pPr>
              <w:spacing w:after="0"/>
              <w:jc w:val="right"/>
              <w:rPr>
                <w:rFonts w:ascii="Calibri" w:hAnsi="Calibri" w:cs="Calibri"/>
              </w:rPr>
            </w:pPr>
            <w:r w:rsidRPr="005E3E53">
              <w:rPr>
                <w:rFonts w:ascii="Calibri" w:hAnsi="Calibri" w:cs="Calibri"/>
              </w:rPr>
              <w:t>£</w:t>
            </w:r>
            <w:r w:rsidR="00981366" w:rsidRPr="005E3E53">
              <w:rPr>
                <w:rFonts w:ascii="Calibri" w:hAnsi="Calibri" w:cs="Calibri"/>
              </w:rPr>
              <w:t>6.25</w:t>
            </w:r>
          </w:p>
        </w:tc>
        <w:tc>
          <w:tcPr>
            <w:tcW w:w="1984" w:type="dxa"/>
            <w:shd w:val="clear" w:color="auto" w:fill="auto"/>
            <w:noWrap/>
            <w:vAlign w:val="center"/>
            <w:hideMark/>
          </w:tcPr>
          <w:p w14:paraId="38444365" w14:textId="2BE93523" w:rsidR="006C3E4A" w:rsidRPr="005E3E53" w:rsidRDefault="006C3E4A" w:rsidP="00B50576">
            <w:pPr>
              <w:spacing w:after="0"/>
              <w:jc w:val="right"/>
              <w:rPr>
                <w:rFonts w:ascii="Calibri" w:hAnsi="Calibri" w:cs="Calibri"/>
              </w:rPr>
            </w:pPr>
            <w:r w:rsidRPr="005E3E53">
              <w:rPr>
                <w:rFonts w:ascii="Calibri" w:hAnsi="Calibri" w:cs="Calibri"/>
              </w:rPr>
              <w:t>£</w:t>
            </w:r>
            <w:r w:rsidR="00981366" w:rsidRPr="005E3E53">
              <w:rPr>
                <w:rFonts w:ascii="Calibri" w:hAnsi="Calibri" w:cs="Calibri"/>
              </w:rPr>
              <w:t>8.20</w:t>
            </w:r>
          </w:p>
        </w:tc>
        <w:tc>
          <w:tcPr>
            <w:tcW w:w="1418" w:type="dxa"/>
          </w:tcPr>
          <w:p w14:paraId="2919C35B" w14:textId="545C702A" w:rsidR="006C3E4A" w:rsidRPr="005E3E53" w:rsidRDefault="00A51318" w:rsidP="00B50576">
            <w:pPr>
              <w:spacing w:after="0"/>
              <w:jc w:val="right"/>
              <w:rPr>
                <w:rFonts w:ascii="Calibri" w:hAnsi="Calibri" w:cs="Calibri"/>
              </w:rPr>
            </w:pPr>
            <w:r w:rsidRPr="005E3E53">
              <w:rPr>
                <w:rFonts w:ascii="Calibri" w:hAnsi="Calibri" w:cs="Calibri"/>
              </w:rPr>
              <w:t>£</w:t>
            </w:r>
            <w:r w:rsidR="005E3E53" w:rsidRPr="005E3E53">
              <w:rPr>
                <w:rFonts w:ascii="Calibri" w:hAnsi="Calibri" w:cs="Calibri"/>
              </w:rPr>
              <w:t>1</w:t>
            </w:r>
            <w:r w:rsidRPr="005E3E53">
              <w:rPr>
                <w:rFonts w:ascii="Calibri" w:hAnsi="Calibri" w:cs="Calibri"/>
              </w:rPr>
              <w:t>.</w:t>
            </w:r>
            <w:r w:rsidR="005E3E53" w:rsidRPr="005E3E53">
              <w:rPr>
                <w:rFonts w:ascii="Calibri" w:hAnsi="Calibri" w:cs="Calibri"/>
              </w:rPr>
              <w:t>455</w:t>
            </w:r>
            <w:r w:rsidR="00374E8D" w:rsidRPr="005E3E53">
              <w:rPr>
                <w:rFonts w:ascii="Calibri" w:hAnsi="Calibri" w:cs="Calibri"/>
              </w:rPr>
              <w:t>m</w:t>
            </w:r>
          </w:p>
        </w:tc>
      </w:tr>
    </w:tbl>
    <w:p w14:paraId="2780A66E" w14:textId="41409D79" w:rsidR="00D41298" w:rsidRPr="007B3875" w:rsidRDefault="00D41298" w:rsidP="004D7AEB">
      <w:pPr>
        <w:pStyle w:val="ListParagraph"/>
        <w:numPr>
          <w:ilvl w:val="0"/>
          <w:numId w:val="0"/>
        </w:numPr>
        <w:ind w:left="426"/>
        <w:jc w:val="both"/>
        <w:rPr>
          <w:highlight w:val="green"/>
        </w:rPr>
      </w:pPr>
    </w:p>
    <w:p w14:paraId="0B3834BE" w14:textId="025C8FCF" w:rsidR="00847F93" w:rsidRPr="000418ED" w:rsidRDefault="3B2660AD" w:rsidP="0084413A">
      <w:pPr>
        <w:pStyle w:val="ListParagraph"/>
        <w:tabs>
          <w:tab w:val="clear" w:pos="426"/>
          <w:tab w:val="left" w:pos="709"/>
        </w:tabs>
        <w:ind w:left="709" w:hanging="709"/>
        <w:jc w:val="both"/>
        <w:rPr>
          <w:strike/>
        </w:rPr>
      </w:pPr>
      <w:r>
        <w:t xml:space="preserve">The rent increase </w:t>
      </w:r>
      <w:r w:rsidR="004878A3">
        <w:t>for Shared Ownership</w:t>
      </w:r>
      <w:r w:rsidR="00812377">
        <w:t xml:space="preserve"> will be </w:t>
      </w:r>
      <w:r w:rsidR="009C4BEA">
        <w:t>CPI + 1%</w:t>
      </w:r>
      <w:r w:rsidR="00E43B64">
        <w:t xml:space="preserve"> </w:t>
      </w:r>
      <w:r w:rsidR="007B3875">
        <w:t>based on the CPI rate for the 12 months to the end of September 2024</w:t>
      </w:r>
      <w:r w:rsidR="0050210B">
        <w:t xml:space="preserve">. This will </w:t>
      </w:r>
      <w:r w:rsidR="0041630A">
        <w:t xml:space="preserve">only </w:t>
      </w:r>
      <w:r w:rsidR="0050210B">
        <w:t>apply</w:t>
      </w:r>
      <w:r w:rsidR="00DD6BFB">
        <w:t xml:space="preserve"> </w:t>
      </w:r>
      <w:r w:rsidR="0050210B">
        <w:t>for</w:t>
      </w:r>
      <w:r w:rsidR="00DD6BFB">
        <w:t xml:space="preserve"> </w:t>
      </w:r>
      <w:r w:rsidR="0023297D">
        <w:t xml:space="preserve">shared ownership </w:t>
      </w:r>
      <w:r w:rsidR="00DD6BFB">
        <w:t>propert</w:t>
      </w:r>
      <w:r w:rsidR="0050210B">
        <w:t>ies</w:t>
      </w:r>
      <w:r w:rsidR="00DD6BFB">
        <w:t xml:space="preserve"> </w:t>
      </w:r>
      <w:r w:rsidR="00C727FB">
        <w:t>owne</w:t>
      </w:r>
      <w:r w:rsidR="0050210B">
        <w:t>d</w:t>
      </w:r>
      <w:r w:rsidR="00C727FB">
        <w:t xml:space="preserve"> for the whole </w:t>
      </w:r>
      <w:r w:rsidR="0050210B">
        <w:t xml:space="preserve">of the </w:t>
      </w:r>
      <w:r w:rsidR="00403409">
        <w:t>preceding 12 months</w:t>
      </w:r>
      <w:r w:rsidR="00C616AE">
        <w:t xml:space="preserve"> (</w:t>
      </w:r>
      <w:proofErr w:type="spellStart"/>
      <w:r w:rsidR="0026394B">
        <w:t>ie</w:t>
      </w:r>
      <w:proofErr w:type="spellEnd"/>
      <w:r w:rsidR="0026394B">
        <w:t>. before</w:t>
      </w:r>
      <w:r w:rsidR="00C616AE">
        <w:t xml:space="preserve"> 1</w:t>
      </w:r>
      <w:r w:rsidR="00C616AE" w:rsidRPr="24ED910F">
        <w:rPr>
          <w:vertAlign w:val="superscript"/>
        </w:rPr>
        <w:t>st</w:t>
      </w:r>
      <w:r w:rsidR="00C616AE">
        <w:t xml:space="preserve"> October 2023)</w:t>
      </w:r>
      <w:r w:rsidR="00B93355">
        <w:t>.</w:t>
      </w:r>
      <w:r w:rsidR="000E4ED3">
        <w:t xml:space="preserve"> </w:t>
      </w:r>
      <w:r w:rsidR="00B93355">
        <w:t>F</w:t>
      </w:r>
      <w:r w:rsidR="00B52FD1">
        <w:t xml:space="preserve">or properties purchased after the </w:t>
      </w:r>
      <w:r w:rsidR="00CF57D3">
        <w:t>30</w:t>
      </w:r>
      <w:r w:rsidR="00CF57D3" w:rsidRPr="24ED910F">
        <w:rPr>
          <w:vertAlign w:val="superscript"/>
        </w:rPr>
        <w:t>th</w:t>
      </w:r>
      <w:r w:rsidR="00CF57D3">
        <w:t xml:space="preserve"> September 2023</w:t>
      </w:r>
      <w:r w:rsidR="009A3B8D">
        <w:t xml:space="preserve"> the increase for 2025/26 will be 0.5%</w:t>
      </w:r>
      <w:r w:rsidR="00FD0F98">
        <w:t>.</w:t>
      </w:r>
    </w:p>
    <w:p w14:paraId="0FC55AB5" w14:textId="76AE36AE" w:rsidR="0034170C" w:rsidRPr="000418ED" w:rsidRDefault="0034170C" w:rsidP="0084413A">
      <w:pPr>
        <w:pStyle w:val="ListParagraph"/>
        <w:numPr>
          <w:ilvl w:val="0"/>
          <w:numId w:val="0"/>
        </w:numPr>
        <w:ind w:left="720"/>
        <w:jc w:val="both"/>
      </w:pPr>
      <w:r w:rsidRPr="000418ED">
        <w:t xml:space="preserve">The rent rise included in the Consultation Budget under these agreements </w:t>
      </w:r>
      <w:r w:rsidR="00A7122C" w:rsidRPr="000418ED">
        <w:t>is</w:t>
      </w:r>
      <w:r w:rsidRPr="000418ED">
        <w:t xml:space="preserve"> effectively an increase of 0.5% for properties less than 12 months old</w:t>
      </w:r>
      <w:r w:rsidR="00A9705C" w:rsidRPr="000418ED">
        <w:t xml:space="preserve"> (as at 30</w:t>
      </w:r>
      <w:r w:rsidR="00A9705C" w:rsidRPr="000418ED">
        <w:rPr>
          <w:vertAlign w:val="superscript"/>
        </w:rPr>
        <w:t>th</w:t>
      </w:r>
      <w:r w:rsidR="00A9705C" w:rsidRPr="000418ED">
        <w:t xml:space="preserve"> September 2024)</w:t>
      </w:r>
      <w:r w:rsidRPr="000418ED">
        <w:t xml:space="preserve"> of which the council </w:t>
      </w:r>
      <w:r w:rsidR="00DA1A7F" w:rsidRPr="000418ED">
        <w:t xml:space="preserve">currently </w:t>
      </w:r>
      <w:r w:rsidRPr="000418ED">
        <w:t xml:space="preserve">has </w:t>
      </w:r>
      <w:r w:rsidR="004879A6">
        <w:t>8</w:t>
      </w:r>
      <w:r w:rsidR="00565EEE" w:rsidRPr="000418ED">
        <w:t xml:space="preserve"> s</w:t>
      </w:r>
      <w:r w:rsidRPr="000418ED">
        <w:t xml:space="preserve">uch properties </w:t>
      </w:r>
      <w:r w:rsidR="00A7122C" w:rsidRPr="000418ED">
        <w:t>and</w:t>
      </w:r>
      <w:r w:rsidRPr="000418ED">
        <w:t xml:space="preserve"> </w:t>
      </w:r>
      <w:r w:rsidR="00A47E9F" w:rsidRPr="000418ED">
        <w:t>CPI</w:t>
      </w:r>
      <w:r w:rsidR="004F68EF" w:rsidRPr="000418ED">
        <w:t xml:space="preserve"> + 1</w:t>
      </w:r>
      <w:r w:rsidRPr="000418ED">
        <w:t>% (</w:t>
      </w:r>
      <w:r w:rsidR="00A9705C" w:rsidRPr="000418ED">
        <w:t>2</w:t>
      </w:r>
      <w:r w:rsidR="004F68EF" w:rsidRPr="000418ED">
        <w:t>.7</w:t>
      </w:r>
      <w:r w:rsidRPr="000418ED">
        <w:t>%) for older properties of which the</w:t>
      </w:r>
      <w:r w:rsidR="000809CC" w:rsidRPr="000418ED">
        <w:t xml:space="preserve"> </w:t>
      </w:r>
      <w:r w:rsidRPr="000418ED">
        <w:t xml:space="preserve">council </w:t>
      </w:r>
      <w:r w:rsidR="00E16436">
        <w:t>ha</w:t>
      </w:r>
      <w:r w:rsidRPr="000418ED">
        <w:t xml:space="preserve">s </w:t>
      </w:r>
      <w:r w:rsidR="004879A6">
        <w:t>56</w:t>
      </w:r>
      <w:r w:rsidRPr="000418ED">
        <w:t xml:space="preserve"> properties.</w:t>
      </w:r>
    </w:p>
    <w:p w14:paraId="369775BF" w14:textId="77777777" w:rsidR="00AC3B2D" w:rsidRPr="00464A21" w:rsidRDefault="00AC3B2D" w:rsidP="00D33501">
      <w:pPr>
        <w:pStyle w:val="ListParagraph"/>
        <w:numPr>
          <w:ilvl w:val="0"/>
          <w:numId w:val="0"/>
        </w:numPr>
        <w:ind w:left="426"/>
        <w:jc w:val="both"/>
      </w:pPr>
    </w:p>
    <w:p w14:paraId="74502A4A" w14:textId="510A6839" w:rsidR="007222C5" w:rsidRPr="00464A21" w:rsidRDefault="00C01544" w:rsidP="009361DD">
      <w:pPr>
        <w:pStyle w:val="ListParagraph"/>
        <w:ind w:left="709" w:hanging="709"/>
        <w:jc w:val="both"/>
      </w:pPr>
      <w:r w:rsidRPr="00464A21">
        <w:tab/>
      </w:r>
      <w:r w:rsidR="00983F41">
        <w:t xml:space="preserve">As part of the Council’s MTFP </w:t>
      </w:r>
      <w:r w:rsidR="0021008B">
        <w:t>proposals for 2025/26 t</w:t>
      </w:r>
      <w:r w:rsidR="00CD1D6F" w:rsidRPr="00464A21">
        <w:t xml:space="preserve">he charge for </w:t>
      </w:r>
      <w:r w:rsidR="00482BCE" w:rsidRPr="00464A21">
        <w:t>g</w:t>
      </w:r>
      <w:r w:rsidRPr="00464A21">
        <w:t>arage</w:t>
      </w:r>
      <w:r w:rsidR="00B222F3" w:rsidRPr="00464A21">
        <w:t>s</w:t>
      </w:r>
      <w:r w:rsidR="002F3AA3">
        <w:t xml:space="preserve"> within </w:t>
      </w:r>
      <w:r w:rsidR="002F3AA3" w:rsidRPr="002F3AA3">
        <w:t>curtilage</w:t>
      </w:r>
      <w:r w:rsidRPr="00464A21">
        <w:t xml:space="preserve"> </w:t>
      </w:r>
      <w:r w:rsidR="00FF1FE8" w:rsidRPr="00464A21">
        <w:t>is proposed to be incre</w:t>
      </w:r>
      <w:r w:rsidR="00285FC8" w:rsidRPr="00464A21">
        <w:t>ased by</w:t>
      </w:r>
      <w:r w:rsidR="00B222F3" w:rsidRPr="00464A21">
        <w:t xml:space="preserve"> </w:t>
      </w:r>
      <w:r w:rsidR="00AD4F19" w:rsidRPr="00464A21">
        <w:t>4.1</w:t>
      </w:r>
      <w:r w:rsidR="006D67B0" w:rsidRPr="00464A21">
        <w:t xml:space="preserve">% from </w:t>
      </w:r>
      <w:r w:rsidR="00905BDD" w:rsidRPr="00464A21">
        <w:t>£</w:t>
      </w:r>
      <w:r w:rsidR="00C61C2F" w:rsidRPr="00464A21">
        <w:t>19.22</w:t>
      </w:r>
      <w:r w:rsidR="00905BDD" w:rsidRPr="00464A21">
        <w:t xml:space="preserve"> to £</w:t>
      </w:r>
      <w:r w:rsidR="00AD4F19" w:rsidRPr="00464A21">
        <w:t>20.00</w:t>
      </w:r>
      <w:r w:rsidR="005B0C8B" w:rsidRPr="00464A21">
        <w:t xml:space="preserve"> per week</w:t>
      </w:r>
      <w:r w:rsidR="005C10E9">
        <w:t>, the same as</w:t>
      </w:r>
      <w:r w:rsidR="008A2DD1" w:rsidRPr="00464A21">
        <w:t xml:space="preserve"> for a standard garage, and up from £2</w:t>
      </w:r>
      <w:r w:rsidR="00DC0EFE" w:rsidRPr="00464A21">
        <w:t>1</w:t>
      </w:r>
      <w:r w:rsidR="008A2DD1" w:rsidRPr="00464A21">
        <w:t>.</w:t>
      </w:r>
      <w:r w:rsidR="00DC0EFE" w:rsidRPr="00464A21">
        <w:t>7</w:t>
      </w:r>
      <w:r w:rsidR="008A2DD1" w:rsidRPr="00464A21">
        <w:t>1</w:t>
      </w:r>
      <w:r w:rsidR="00DC0EFE" w:rsidRPr="00464A21">
        <w:t xml:space="preserve"> </w:t>
      </w:r>
      <w:r w:rsidR="008A2DD1" w:rsidRPr="00464A21">
        <w:t>to £</w:t>
      </w:r>
      <w:r w:rsidR="009D7DA3" w:rsidRPr="00464A21">
        <w:t>2</w:t>
      </w:r>
      <w:r w:rsidR="00DC0EFE" w:rsidRPr="00464A21">
        <w:t>2</w:t>
      </w:r>
      <w:r w:rsidR="009D7DA3" w:rsidRPr="00464A21">
        <w:t>.60 per week for a premium garage</w:t>
      </w:r>
      <w:r w:rsidR="005B0C8B" w:rsidRPr="00464A21">
        <w:t>.</w:t>
      </w:r>
    </w:p>
    <w:p w14:paraId="5BA0F005" w14:textId="77777777" w:rsidR="007222C5" w:rsidRPr="00362B81" w:rsidRDefault="007222C5" w:rsidP="007222C5">
      <w:pPr>
        <w:pStyle w:val="ListParagraph"/>
        <w:numPr>
          <w:ilvl w:val="0"/>
          <w:numId w:val="0"/>
        </w:numPr>
        <w:ind w:left="426"/>
        <w:jc w:val="both"/>
      </w:pPr>
    </w:p>
    <w:p w14:paraId="5281F417" w14:textId="38603B1F" w:rsidR="00AA26A8" w:rsidRDefault="000809CC" w:rsidP="00D33501">
      <w:pPr>
        <w:pStyle w:val="ListParagraph"/>
        <w:ind w:left="709" w:hanging="709"/>
        <w:jc w:val="both"/>
        <w:rPr>
          <w:rFonts w:cs="Arial"/>
        </w:rPr>
      </w:pPr>
      <w:r w:rsidRPr="00362B81">
        <w:tab/>
      </w:r>
      <w:r w:rsidR="00634C0D" w:rsidRPr="00362B81">
        <w:t xml:space="preserve">Service charges </w:t>
      </w:r>
      <w:r w:rsidR="006152B2" w:rsidRPr="00362B81">
        <w:rPr>
          <w:rFonts w:cs="Arial"/>
        </w:rPr>
        <w:t xml:space="preserve">such as caretaking, cleaning, CCTV, communal areas etc. will be </w:t>
      </w:r>
      <w:r w:rsidR="00E40EFF" w:rsidRPr="00362B81">
        <w:rPr>
          <w:rFonts w:cs="Arial"/>
        </w:rPr>
        <w:tab/>
      </w:r>
      <w:r w:rsidR="006152B2" w:rsidRPr="00362B81">
        <w:rPr>
          <w:rFonts w:cs="Arial"/>
        </w:rPr>
        <w:t xml:space="preserve">increased by CPI plus 1% across all tenure types in the HRA to ensure that </w:t>
      </w:r>
      <w:r w:rsidR="002A3383" w:rsidRPr="00362B81">
        <w:rPr>
          <w:rFonts w:cs="Arial"/>
        </w:rPr>
        <w:t xml:space="preserve">the HRA </w:t>
      </w:r>
      <w:r w:rsidR="00E40EFF" w:rsidRPr="00362B81">
        <w:rPr>
          <w:rFonts w:cs="Arial"/>
        </w:rPr>
        <w:tab/>
      </w:r>
      <w:r w:rsidR="002A3383" w:rsidRPr="00362B81">
        <w:rPr>
          <w:rFonts w:cs="Arial"/>
        </w:rPr>
        <w:t>recovers the cost of providing these services.</w:t>
      </w:r>
      <w:r w:rsidR="00EF3765" w:rsidRPr="00362B81">
        <w:rPr>
          <w:rFonts w:cs="Arial"/>
        </w:rPr>
        <w:t xml:space="preserve"> Service charges will be </w:t>
      </w:r>
      <w:r w:rsidR="007B216B" w:rsidRPr="00362B81">
        <w:rPr>
          <w:rFonts w:cs="Arial"/>
        </w:rPr>
        <w:t xml:space="preserve">monitored and </w:t>
      </w:r>
      <w:r w:rsidR="007B216B" w:rsidRPr="00362B81">
        <w:rPr>
          <w:rFonts w:cs="Arial"/>
        </w:rPr>
        <w:tab/>
      </w:r>
      <w:r w:rsidR="00EF3765" w:rsidRPr="00362B81">
        <w:rPr>
          <w:rFonts w:cs="Arial"/>
        </w:rPr>
        <w:t>reviewed</w:t>
      </w:r>
      <w:r w:rsidR="007E632F" w:rsidRPr="00362B81">
        <w:rPr>
          <w:rFonts w:cs="Arial"/>
        </w:rPr>
        <w:t xml:space="preserve"> regularly</w:t>
      </w:r>
      <w:r w:rsidR="00EF3765" w:rsidRPr="00362B81">
        <w:rPr>
          <w:rFonts w:cs="Arial"/>
        </w:rPr>
        <w:t xml:space="preserve"> </w:t>
      </w:r>
      <w:r w:rsidR="00F71338" w:rsidRPr="00362B81">
        <w:rPr>
          <w:rFonts w:cs="Arial"/>
        </w:rPr>
        <w:t xml:space="preserve">to ensure costs </w:t>
      </w:r>
      <w:r w:rsidR="007B216B" w:rsidRPr="00362B81">
        <w:rPr>
          <w:rFonts w:cs="Arial"/>
        </w:rPr>
        <w:t xml:space="preserve">of provision </w:t>
      </w:r>
      <w:r w:rsidR="00F71338" w:rsidRPr="00362B81">
        <w:rPr>
          <w:rFonts w:cs="Arial"/>
        </w:rPr>
        <w:t>are being recovered</w:t>
      </w:r>
      <w:r w:rsidR="007B216B" w:rsidRPr="00362B81">
        <w:rPr>
          <w:rFonts w:cs="Arial"/>
        </w:rPr>
        <w:t xml:space="preserve"> </w:t>
      </w:r>
      <w:r w:rsidR="00C3698D" w:rsidRPr="00362B81">
        <w:rPr>
          <w:rFonts w:cs="Arial"/>
        </w:rPr>
        <w:t xml:space="preserve">and tenants are </w:t>
      </w:r>
      <w:r w:rsidR="00020B07" w:rsidRPr="00362B81">
        <w:rPr>
          <w:rFonts w:cs="Arial"/>
        </w:rPr>
        <w:tab/>
      </w:r>
      <w:r w:rsidR="00C3698D" w:rsidRPr="00362B81">
        <w:rPr>
          <w:rFonts w:cs="Arial"/>
        </w:rPr>
        <w:t>not being overcharged</w:t>
      </w:r>
      <w:r w:rsidR="007B216B" w:rsidRPr="00362B81">
        <w:rPr>
          <w:rFonts w:cs="Arial"/>
        </w:rPr>
        <w:t>.</w:t>
      </w:r>
    </w:p>
    <w:p w14:paraId="5C608724" w14:textId="77777777" w:rsidR="008877FE" w:rsidRPr="008877FE" w:rsidRDefault="008877FE" w:rsidP="008877FE">
      <w:pPr>
        <w:pStyle w:val="ListParagraph"/>
        <w:numPr>
          <w:ilvl w:val="0"/>
          <w:numId w:val="0"/>
        </w:numPr>
        <w:ind w:left="360"/>
        <w:rPr>
          <w:rFonts w:cs="Arial"/>
        </w:rPr>
      </w:pPr>
    </w:p>
    <w:p w14:paraId="3D6440AB" w14:textId="78B88309" w:rsidR="0040736F" w:rsidRPr="00362B81" w:rsidRDefault="00DA614B" w:rsidP="00D33501">
      <w:pPr>
        <w:pStyle w:val="Heading1"/>
        <w:jc w:val="both"/>
      </w:pPr>
      <w:r w:rsidRPr="00362B81">
        <w:t>Legal issues</w:t>
      </w:r>
    </w:p>
    <w:p w14:paraId="7057BA13" w14:textId="1AB5E530" w:rsidR="00613FF4" w:rsidRPr="00362B81" w:rsidRDefault="00C63A7F" w:rsidP="00262794">
      <w:pPr>
        <w:pStyle w:val="ListParagraph"/>
      </w:pPr>
      <w:r w:rsidRPr="00362B81">
        <w:tab/>
      </w:r>
      <w:r w:rsidR="007A09E3" w:rsidRPr="00362B81">
        <w:t xml:space="preserve">The rent setting is governed by two </w:t>
      </w:r>
      <w:r w:rsidR="00EA42EB" w:rsidRPr="00362B81">
        <w:t xml:space="preserve">government </w:t>
      </w:r>
      <w:r w:rsidR="007A09E3" w:rsidRPr="00362B81">
        <w:t>documents – The Rent Standard</w:t>
      </w:r>
      <w:r w:rsidR="001B08F0" w:rsidRPr="00362B81">
        <w:t xml:space="preserve"> </w:t>
      </w:r>
      <w:r w:rsidR="003549B3" w:rsidRPr="00362B81">
        <w:tab/>
      </w:r>
      <w:r w:rsidR="001B08F0" w:rsidRPr="00362B81">
        <w:t>(Regulator of Social Housing)</w:t>
      </w:r>
      <w:r w:rsidR="007A09E3" w:rsidRPr="00362B81">
        <w:t>,</w:t>
      </w:r>
      <w:r w:rsidR="001B08F0" w:rsidRPr="00362B81">
        <w:t xml:space="preserve"> </w:t>
      </w:r>
      <w:r w:rsidR="007A09E3" w:rsidRPr="00362B81">
        <w:t>and the Policy Statement</w:t>
      </w:r>
      <w:r w:rsidR="003549B3" w:rsidRPr="00362B81">
        <w:t xml:space="preserve"> on Rents for Social Housing</w:t>
      </w:r>
      <w:r w:rsidR="00DE5810" w:rsidRPr="00362B81">
        <w:t xml:space="preserve"> </w:t>
      </w:r>
      <w:r w:rsidR="00DE5810" w:rsidRPr="00362B81">
        <w:tab/>
        <w:t>(GOV.UK)</w:t>
      </w:r>
      <w:r w:rsidR="007A09E3" w:rsidRPr="00362B81">
        <w:t>.</w:t>
      </w:r>
    </w:p>
    <w:p w14:paraId="4F1189C2" w14:textId="2AA439DB" w:rsidR="00A62ADA" w:rsidRPr="00362B81" w:rsidRDefault="00C63A7F" w:rsidP="00262794">
      <w:pPr>
        <w:pStyle w:val="ListParagraph"/>
        <w:tabs>
          <w:tab w:val="clear" w:pos="426"/>
          <w:tab w:val="left" w:pos="709"/>
        </w:tabs>
        <w:ind w:left="426" w:hanging="426"/>
        <w:jc w:val="both"/>
      </w:pPr>
      <w:r w:rsidRPr="00362B81">
        <w:tab/>
      </w:r>
      <w:r w:rsidR="004A1ECF" w:rsidRPr="00362B81">
        <w:t xml:space="preserve">The HRA is a ring-fenced account and </w:t>
      </w:r>
      <w:r w:rsidR="0096726B" w:rsidRPr="00362B81">
        <w:t>is required</w:t>
      </w:r>
      <w:r w:rsidR="004A1ECF" w:rsidRPr="00362B81">
        <w:t xml:space="preserve"> to finance its activities from the </w:t>
      </w:r>
      <w:r w:rsidRPr="00362B81">
        <w:tab/>
      </w:r>
      <w:r w:rsidR="004A1ECF" w:rsidRPr="00362B81">
        <w:t>income it generate</w:t>
      </w:r>
      <w:r w:rsidR="003C4173" w:rsidRPr="00362B81">
        <w:t xml:space="preserve">s </w:t>
      </w:r>
      <w:r w:rsidR="008B264A" w:rsidRPr="00362B81">
        <w:t>-</w:t>
      </w:r>
      <w:r w:rsidR="003C4173" w:rsidRPr="00362B81">
        <w:t xml:space="preserve"> predominantly rental income</w:t>
      </w:r>
      <w:r w:rsidR="008B264A" w:rsidRPr="00362B81">
        <w:t xml:space="preserve">. Failure to </w:t>
      </w:r>
      <w:r w:rsidR="00A31765" w:rsidRPr="00362B81">
        <w:t xml:space="preserve">maintain a positive </w:t>
      </w:r>
      <w:r w:rsidRPr="00362B81">
        <w:tab/>
      </w:r>
      <w:r w:rsidR="008B264A" w:rsidRPr="00362B81">
        <w:t>balance</w:t>
      </w:r>
      <w:r w:rsidR="00A31765" w:rsidRPr="00362B81">
        <w:t xml:space="preserve"> </w:t>
      </w:r>
      <w:r w:rsidR="00531A0B" w:rsidRPr="00362B81">
        <w:t>of the HRA account</w:t>
      </w:r>
      <w:r w:rsidR="00F25D27" w:rsidRPr="00362B81">
        <w:t xml:space="preserve"> would lead </w:t>
      </w:r>
      <w:r w:rsidR="00C453E9" w:rsidRPr="00362B81">
        <w:t xml:space="preserve">to </w:t>
      </w:r>
      <w:r w:rsidR="004E1217" w:rsidRPr="00362B81">
        <w:t xml:space="preserve">the collapse of the HRA at Oxford City </w:t>
      </w:r>
      <w:r w:rsidRPr="00362B81">
        <w:tab/>
      </w:r>
      <w:r w:rsidR="004E1217" w:rsidRPr="00362B81">
        <w:t>Council.</w:t>
      </w:r>
    </w:p>
    <w:p w14:paraId="6C1BF017" w14:textId="77777777" w:rsidR="00DB311D" w:rsidRPr="00362B81" w:rsidRDefault="00DB311D" w:rsidP="00CD29AA">
      <w:pPr>
        <w:spacing w:after="0"/>
      </w:pPr>
    </w:p>
    <w:p w14:paraId="258ADEDE" w14:textId="6474B3A0" w:rsidR="002329CF" w:rsidRPr="00362B81" w:rsidRDefault="00B829D2" w:rsidP="00CD29AA">
      <w:pPr>
        <w:spacing w:after="0"/>
        <w:rPr>
          <w:b/>
          <w:bCs/>
        </w:rPr>
      </w:pPr>
      <w:r w:rsidRPr="00362B81">
        <w:rPr>
          <w:b/>
          <w:bCs/>
        </w:rPr>
        <w:t>Risk Implications</w:t>
      </w:r>
    </w:p>
    <w:p w14:paraId="0FEBB635" w14:textId="77777777" w:rsidR="00DB311D" w:rsidRPr="00362B81" w:rsidRDefault="00DB311D" w:rsidP="00CD29AA">
      <w:pPr>
        <w:spacing w:after="0"/>
        <w:rPr>
          <w:b/>
          <w:bCs/>
        </w:rPr>
      </w:pPr>
    </w:p>
    <w:p w14:paraId="5B94B8A6" w14:textId="5A8EAB8B" w:rsidR="00BC69A4" w:rsidRPr="00362B81" w:rsidRDefault="00B44695" w:rsidP="00262794">
      <w:pPr>
        <w:pStyle w:val="ListParagraph"/>
      </w:pPr>
      <w:r w:rsidRPr="00362B81">
        <w:tab/>
      </w:r>
      <w:r w:rsidR="00ED0352" w:rsidRPr="00362B81">
        <w:t xml:space="preserve">The </w:t>
      </w:r>
      <w:r w:rsidR="00C448E4" w:rsidRPr="00362B81">
        <w:t xml:space="preserve">main risk to the HRA is that the </w:t>
      </w:r>
      <w:r w:rsidR="003D3158" w:rsidRPr="00362B81">
        <w:t xml:space="preserve">increases are not approved </w:t>
      </w:r>
      <w:r w:rsidR="00934922" w:rsidRPr="00362B81">
        <w:t xml:space="preserve">resulting in an </w:t>
      </w:r>
      <w:r w:rsidRPr="00362B81">
        <w:tab/>
      </w:r>
      <w:r w:rsidR="00934922" w:rsidRPr="00362B81">
        <w:t xml:space="preserve">unsustainable </w:t>
      </w:r>
      <w:r w:rsidR="00F51E60" w:rsidRPr="00362B81">
        <w:t>financial position</w:t>
      </w:r>
      <w:r w:rsidR="00E6301C" w:rsidRPr="00362B81">
        <w:t xml:space="preserve"> </w:t>
      </w:r>
      <w:r w:rsidR="00C900B8" w:rsidRPr="00362B81">
        <w:t>that would require significant reductions in</w:t>
      </w:r>
      <w:r w:rsidR="00E6301C" w:rsidRPr="00362B81">
        <w:t xml:space="preserve"> the </w:t>
      </w:r>
      <w:r w:rsidRPr="00362B81">
        <w:tab/>
      </w:r>
      <w:r w:rsidR="00E6301C" w:rsidRPr="00362B81">
        <w:t xml:space="preserve">provision of services </w:t>
      </w:r>
      <w:r w:rsidR="00934922" w:rsidRPr="00362B81">
        <w:t>and support to its residents</w:t>
      </w:r>
      <w:r w:rsidR="0093067A" w:rsidRPr="00362B81">
        <w:t>.</w:t>
      </w:r>
    </w:p>
    <w:p w14:paraId="096A69F2" w14:textId="77777777" w:rsidR="000E674B" w:rsidRDefault="000E674B" w:rsidP="0050321C">
      <w:pPr>
        <w:pStyle w:val="Heading1"/>
      </w:pPr>
    </w:p>
    <w:p w14:paraId="737C9583" w14:textId="6E4FE0A7" w:rsidR="002329CF" w:rsidRPr="00362B81" w:rsidRDefault="002329CF" w:rsidP="0050321C">
      <w:pPr>
        <w:pStyle w:val="Heading1"/>
      </w:pPr>
      <w:r w:rsidRPr="00362B81">
        <w:t xml:space="preserve">Equalities impact </w:t>
      </w:r>
    </w:p>
    <w:p w14:paraId="0D80C14C" w14:textId="4C9C361D" w:rsidR="00FB3B71" w:rsidRPr="00362B81" w:rsidRDefault="00D13C5A" w:rsidP="00262794">
      <w:pPr>
        <w:pStyle w:val="ListParagraph"/>
      </w:pPr>
      <w:r>
        <w:t xml:space="preserve">See Appendix </w:t>
      </w:r>
      <w:r w:rsidR="00B70BC2">
        <w:t>2.</w:t>
      </w:r>
    </w:p>
    <w:p w14:paraId="0CF9EA7C" w14:textId="77777777" w:rsidR="000E674B" w:rsidRDefault="000E674B" w:rsidP="004A5759">
      <w:pPr>
        <w:spacing w:after="0"/>
        <w:rPr>
          <w:b/>
          <w:bCs/>
          <w:u w:val="single"/>
        </w:rPr>
      </w:pPr>
    </w:p>
    <w:p w14:paraId="239AA2F9" w14:textId="526F2561" w:rsidR="004A5759" w:rsidRPr="00214CF2" w:rsidRDefault="00F80501" w:rsidP="004A5759">
      <w:pPr>
        <w:spacing w:after="0"/>
        <w:rPr>
          <w:b/>
          <w:bCs/>
          <w:u w:val="single"/>
        </w:rPr>
      </w:pPr>
      <w:r w:rsidRPr="00214CF2">
        <w:rPr>
          <w:b/>
          <w:bCs/>
          <w:u w:val="single"/>
        </w:rPr>
        <w:t>Carbon and Environmental considerations</w:t>
      </w:r>
    </w:p>
    <w:p w14:paraId="4C575FC1" w14:textId="367F1680" w:rsidR="004A5759" w:rsidRPr="00214CF2" w:rsidRDefault="004A5759" w:rsidP="004A5759">
      <w:pPr>
        <w:spacing w:after="0"/>
      </w:pPr>
    </w:p>
    <w:p w14:paraId="57A57028" w14:textId="77777777" w:rsidR="00262794" w:rsidRPr="00262794" w:rsidRDefault="004A5759" w:rsidP="00262794">
      <w:pPr>
        <w:pStyle w:val="ListParagraph"/>
        <w:tabs>
          <w:tab w:val="clear" w:pos="426"/>
          <w:tab w:val="left" w:pos="709"/>
        </w:tabs>
        <w:spacing w:after="0"/>
        <w:jc w:val="both"/>
        <w:rPr>
          <w:b/>
          <w:bCs/>
          <w:u w:val="single"/>
        </w:rPr>
      </w:pPr>
      <w:r w:rsidRPr="00214CF2">
        <w:t>This report</w:t>
      </w:r>
      <w:r w:rsidR="000D4972" w:rsidRPr="00214CF2">
        <w:t xml:space="preserve"> is for </w:t>
      </w:r>
      <w:r w:rsidR="00A54CFA" w:rsidRPr="00214CF2">
        <w:t>rent</w:t>
      </w:r>
      <w:r w:rsidR="000D4972" w:rsidRPr="00214CF2">
        <w:t xml:space="preserve"> setting purposes, and </w:t>
      </w:r>
      <w:r w:rsidR="00AB1617" w:rsidRPr="00214CF2">
        <w:t>the proposed budget changes do not affect the council's ability to reach our net zero target.</w:t>
      </w:r>
    </w:p>
    <w:p w14:paraId="44C5529E" w14:textId="77777777" w:rsidR="00262794" w:rsidRDefault="00262794" w:rsidP="00262794">
      <w:pPr>
        <w:tabs>
          <w:tab w:val="left" w:pos="709"/>
        </w:tabs>
        <w:spacing w:after="0"/>
        <w:jc w:val="both"/>
      </w:pPr>
    </w:p>
    <w:p w14:paraId="3E385EB2" w14:textId="77777777" w:rsidR="00262794" w:rsidRDefault="00262794" w:rsidP="00262794">
      <w:pPr>
        <w:tabs>
          <w:tab w:val="left" w:pos="709"/>
        </w:tabs>
        <w:spacing w:after="0"/>
        <w:jc w:val="both"/>
      </w:pPr>
    </w:p>
    <w:p w14:paraId="41C1470F" w14:textId="13959B46" w:rsidR="004A76B5" w:rsidRPr="00262794" w:rsidRDefault="004A76B5" w:rsidP="00262794">
      <w:pPr>
        <w:tabs>
          <w:tab w:val="left" w:pos="709"/>
        </w:tabs>
        <w:spacing w:after="0"/>
        <w:jc w:val="both"/>
        <w:rPr>
          <w:b/>
          <w:bCs/>
          <w:u w:val="single"/>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2E695A5A"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ECFE61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8BAB973" w14:textId="0780A0A1" w:rsidR="00E87F7A" w:rsidRPr="001356F1" w:rsidRDefault="00AF0B98" w:rsidP="00A46E98">
            <w:r>
              <w:t>Jason Jones</w:t>
            </w:r>
          </w:p>
        </w:tc>
      </w:tr>
      <w:tr w:rsidR="00DF093E" w:rsidRPr="001356F1" w14:paraId="0BA15529"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ABC05FD"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3A3E85D7" w14:textId="324BDBC3" w:rsidR="00E87F7A" w:rsidRPr="001356F1" w:rsidRDefault="00AF0B98" w:rsidP="00A46E98">
            <w:r>
              <w:t>Finance Bu</w:t>
            </w:r>
            <w:r w:rsidR="00F50900">
              <w:t>siness Partner</w:t>
            </w:r>
          </w:p>
        </w:tc>
      </w:tr>
      <w:tr w:rsidR="00DF093E" w:rsidRPr="001356F1" w14:paraId="2C3D9505" w14:textId="77777777" w:rsidTr="00A46E98">
        <w:trPr>
          <w:cantSplit/>
          <w:trHeight w:val="396"/>
        </w:trPr>
        <w:tc>
          <w:tcPr>
            <w:tcW w:w="3969" w:type="dxa"/>
            <w:tcBorders>
              <w:top w:val="nil"/>
              <w:left w:val="single" w:sz="8" w:space="0" w:color="000000"/>
              <w:bottom w:val="nil"/>
              <w:right w:val="nil"/>
            </w:tcBorders>
            <w:shd w:val="clear" w:color="auto" w:fill="auto"/>
          </w:tcPr>
          <w:p w14:paraId="474CC762"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789CAFF" w14:textId="0F74D038" w:rsidR="00E87F7A" w:rsidRPr="001356F1" w:rsidRDefault="00F50900" w:rsidP="00A46E98">
            <w:r>
              <w:t>Finance</w:t>
            </w:r>
          </w:p>
        </w:tc>
      </w:tr>
      <w:tr w:rsidR="00DF093E" w:rsidRPr="001356F1" w14:paraId="37CA3576" w14:textId="77777777" w:rsidTr="00A46E98">
        <w:trPr>
          <w:cantSplit/>
          <w:trHeight w:val="396"/>
        </w:trPr>
        <w:tc>
          <w:tcPr>
            <w:tcW w:w="3969" w:type="dxa"/>
            <w:tcBorders>
              <w:top w:val="nil"/>
              <w:left w:val="single" w:sz="8" w:space="0" w:color="000000"/>
              <w:bottom w:val="nil"/>
              <w:right w:val="nil"/>
            </w:tcBorders>
            <w:shd w:val="clear" w:color="auto" w:fill="auto"/>
          </w:tcPr>
          <w:p w14:paraId="518AA85F"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4F6A3042" w14:textId="789EE339" w:rsidR="00E87F7A" w:rsidRPr="001356F1" w:rsidRDefault="00E87F7A" w:rsidP="00A46E98">
            <w:r w:rsidRPr="001356F1">
              <w:t xml:space="preserve">01865 </w:t>
            </w:r>
            <w:r w:rsidR="00563CFA" w:rsidRPr="00563CFA">
              <w:t>252365</w:t>
            </w:r>
            <w:r w:rsidRPr="001356F1">
              <w:t xml:space="preserve">  </w:t>
            </w:r>
          </w:p>
        </w:tc>
      </w:tr>
      <w:tr w:rsidR="005570B5" w:rsidRPr="001356F1" w14:paraId="40965D5D"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371AF68"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B6303D2" w14:textId="1054B932" w:rsidR="00E87F7A" w:rsidRPr="001356F1" w:rsidRDefault="009F504D" w:rsidP="00A46E98">
            <w:pPr>
              <w:rPr>
                <w:rStyle w:val="Hyperlink"/>
                <w:color w:val="000000"/>
              </w:rPr>
            </w:pPr>
            <w:r>
              <w:rPr>
                <w:rStyle w:val="Hyperlink"/>
                <w:color w:val="000000"/>
              </w:rPr>
              <w:t>j</w:t>
            </w:r>
            <w:r>
              <w:rPr>
                <w:rStyle w:val="Hyperlink"/>
              </w:rPr>
              <w:t>ajones@oxford.gov.uk</w:t>
            </w:r>
          </w:p>
        </w:tc>
      </w:tr>
    </w:tbl>
    <w:p w14:paraId="63889CF6"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gridCol w:w="9313"/>
      </w:tblGrid>
      <w:tr w:rsidR="00DF093E" w:rsidRPr="001356F1" w14:paraId="47A4E169" w14:textId="77777777" w:rsidTr="004A3002">
        <w:tc>
          <w:tcPr>
            <w:tcW w:w="9180" w:type="dxa"/>
            <w:gridSpan w:val="2"/>
            <w:tcBorders>
              <w:top w:val="single" w:sz="4" w:space="0" w:color="auto"/>
              <w:left w:val="single" w:sz="4" w:space="0" w:color="auto"/>
              <w:bottom w:val="single" w:sz="8" w:space="0" w:color="000000"/>
              <w:right w:val="single" w:sz="4" w:space="0" w:color="auto"/>
            </w:tcBorders>
            <w:shd w:val="clear" w:color="auto" w:fill="auto"/>
          </w:tcPr>
          <w:p w14:paraId="0AFA83F4" w14:textId="68EA7D05" w:rsidR="0093067A" w:rsidRPr="001356F1" w:rsidRDefault="00182B81" w:rsidP="00F41AC1">
            <w:r w:rsidRPr="001356F1">
              <w:rPr>
                <w:rStyle w:val="Firstpagetablebold"/>
              </w:rPr>
              <w:t>Background Papers:</w:t>
            </w:r>
          </w:p>
        </w:tc>
      </w:tr>
      <w:tr w:rsidR="00DF093E" w:rsidRPr="001356F1" w14:paraId="1E594439" w14:textId="77777777" w:rsidTr="004A3002">
        <w:tc>
          <w:tcPr>
            <w:tcW w:w="295" w:type="dxa"/>
            <w:tcBorders>
              <w:top w:val="single" w:sz="8" w:space="0" w:color="000000"/>
              <w:left w:val="single" w:sz="8" w:space="0" w:color="000000"/>
              <w:bottom w:val="nil"/>
              <w:right w:val="nil"/>
            </w:tcBorders>
            <w:shd w:val="clear" w:color="auto" w:fill="auto"/>
          </w:tcPr>
          <w:p w14:paraId="1B6854B6" w14:textId="77777777" w:rsidR="0093067A" w:rsidRPr="001356F1" w:rsidRDefault="00182B81" w:rsidP="00F41AC1">
            <w:r w:rsidRPr="001356F1">
              <w:t>1</w:t>
            </w:r>
          </w:p>
        </w:tc>
        <w:tc>
          <w:tcPr>
            <w:tcW w:w="8885" w:type="dxa"/>
            <w:tcBorders>
              <w:top w:val="single" w:sz="8" w:space="0" w:color="000000"/>
              <w:left w:val="nil"/>
              <w:bottom w:val="nil"/>
              <w:right w:val="single" w:sz="8" w:space="0" w:color="000000"/>
            </w:tcBorders>
          </w:tcPr>
          <w:p w14:paraId="0C867C3F" w14:textId="678ABFEE" w:rsidR="0093067A" w:rsidRPr="00121CDE" w:rsidRDefault="000441C1" w:rsidP="005D0621">
            <w:r w:rsidRPr="00121CDE">
              <w:t xml:space="preserve">GOV.UK: </w:t>
            </w:r>
            <w:r w:rsidR="00EA3E8A" w:rsidRPr="00121CDE">
              <w:t>Policy statement on rents for social housing</w:t>
            </w:r>
            <w:r w:rsidR="00DB03C2" w:rsidRPr="00121CDE">
              <w:t xml:space="preserve"> </w:t>
            </w:r>
            <w:hyperlink r:id="rId15" w:history="1">
              <w:r w:rsidR="00DB03C2" w:rsidRPr="00121CDE">
                <w:rPr>
                  <w:rStyle w:val="Hyperlink"/>
                </w:rPr>
                <w:t>https://www.gov.uk/government/publications/direction-on-the-rent-standard-from-1-april-2020/policy-statement-on-rents-for-social-housing</w:t>
              </w:r>
            </w:hyperlink>
            <w:r w:rsidR="00DB03C2" w:rsidRPr="00121CDE">
              <w:t xml:space="preserve"> </w:t>
            </w:r>
          </w:p>
        </w:tc>
      </w:tr>
      <w:tr w:rsidR="00DF093E" w:rsidRPr="001356F1" w14:paraId="3E59DB26" w14:textId="77777777" w:rsidTr="004A3002">
        <w:tc>
          <w:tcPr>
            <w:tcW w:w="295" w:type="dxa"/>
            <w:tcBorders>
              <w:top w:val="nil"/>
              <w:left w:val="single" w:sz="8" w:space="0" w:color="000000"/>
              <w:bottom w:val="nil"/>
              <w:right w:val="nil"/>
            </w:tcBorders>
            <w:shd w:val="clear" w:color="auto" w:fill="auto"/>
          </w:tcPr>
          <w:p w14:paraId="619AEF2F" w14:textId="77777777" w:rsidR="0093067A" w:rsidRPr="00F876FF" w:rsidRDefault="00182B81" w:rsidP="00F41AC1">
            <w:r w:rsidRPr="00F876FF">
              <w:t>2</w:t>
            </w:r>
          </w:p>
        </w:tc>
        <w:tc>
          <w:tcPr>
            <w:tcW w:w="8885" w:type="dxa"/>
            <w:tcBorders>
              <w:top w:val="nil"/>
              <w:left w:val="nil"/>
              <w:bottom w:val="nil"/>
              <w:right w:val="single" w:sz="8" w:space="0" w:color="000000"/>
            </w:tcBorders>
          </w:tcPr>
          <w:p w14:paraId="0F05A904" w14:textId="470A3B74" w:rsidR="0093067A" w:rsidRPr="00F876FF" w:rsidRDefault="00870A10" w:rsidP="00F41AC1">
            <w:r w:rsidRPr="00F876FF">
              <w:t>Regulator</w:t>
            </w:r>
            <w:r w:rsidR="0018312A" w:rsidRPr="00F876FF">
              <w:t xml:space="preserve"> of Social Housing: Rent Standard</w:t>
            </w:r>
            <w:r w:rsidR="00DA4ACD" w:rsidRPr="00F876FF">
              <w:t xml:space="preserve"> </w:t>
            </w:r>
          </w:p>
          <w:p w14:paraId="0FD6CBEC" w14:textId="15CE20B0" w:rsidR="00D90F5E" w:rsidRPr="00A95208" w:rsidRDefault="00224CB3" w:rsidP="00A95208">
            <w:pPr>
              <w:rPr>
                <w:color w:val="0000FF"/>
                <w:u w:val="single"/>
              </w:rPr>
            </w:pPr>
            <w:hyperlink r:id="rId16" w:history="1">
              <w:r w:rsidR="00D90F5E" w:rsidRPr="00F876FF">
                <w:rPr>
                  <w:rStyle w:val="Hyperlink"/>
                </w:rPr>
                <w:t>https://assets.publishing.service.gov.uk/media/65e741ce2f2b3b0ba97cd774/Limit_on_annual_rent_increases_2024-25.pdf</w:t>
              </w:r>
            </w:hyperlink>
          </w:p>
        </w:tc>
      </w:tr>
      <w:tr w:rsidR="005570B5" w:rsidRPr="00A46E98" w14:paraId="21A7D412" w14:textId="77777777" w:rsidTr="004A3002">
        <w:tc>
          <w:tcPr>
            <w:tcW w:w="295" w:type="dxa"/>
            <w:tcBorders>
              <w:top w:val="nil"/>
              <w:left w:val="single" w:sz="8" w:space="0" w:color="000000"/>
              <w:bottom w:val="single" w:sz="8" w:space="0" w:color="000000"/>
              <w:right w:val="nil"/>
            </w:tcBorders>
            <w:shd w:val="clear" w:color="auto" w:fill="auto"/>
          </w:tcPr>
          <w:p w14:paraId="23E7D8A9" w14:textId="7BBBB522" w:rsidR="0093067A" w:rsidRPr="00A46E98" w:rsidRDefault="0093067A" w:rsidP="00F41AC1"/>
        </w:tc>
        <w:tc>
          <w:tcPr>
            <w:tcW w:w="8885" w:type="dxa"/>
            <w:tcBorders>
              <w:top w:val="nil"/>
              <w:left w:val="nil"/>
              <w:bottom w:val="single" w:sz="8" w:space="0" w:color="000000"/>
              <w:right w:val="single" w:sz="8" w:space="0" w:color="000000"/>
            </w:tcBorders>
          </w:tcPr>
          <w:p w14:paraId="106F8757" w14:textId="77777777" w:rsidR="0093067A" w:rsidRPr="00A46E98" w:rsidRDefault="0093067A" w:rsidP="00F41AC1"/>
        </w:tc>
      </w:tr>
    </w:tbl>
    <w:p w14:paraId="3E7F8A9C" w14:textId="77777777" w:rsidR="00CE4C87" w:rsidRDefault="00CE4C87" w:rsidP="0093067A"/>
    <w:p w14:paraId="3FA0CE7F" w14:textId="77777777" w:rsidR="004456DD" w:rsidRPr="009E51FC" w:rsidRDefault="004456DD" w:rsidP="0093067A"/>
    <w:sectPr w:rsidR="004456DD" w:rsidRPr="009E51FC" w:rsidSect="00100702">
      <w:footerReference w:type="even" r:id="rId17"/>
      <w:headerReference w:type="first" r:id="rId18"/>
      <w:footerReference w:type="first" r:id="rId19"/>
      <w:pgSz w:w="11906" w:h="16838" w:code="9"/>
      <w:pgMar w:top="1440" w:right="1080" w:bottom="1440" w:left="1080" w:header="113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NEDY Nigel" w:date="2024-10-18T14:48:00Z" w:initials="KN">
    <w:p w14:paraId="67D10748" w14:textId="1B7584BB" w:rsidR="00CE4A0A" w:rsidRDefault="00CE4A0A">
      <w:pPr>
        <w:pStyle w:val="CommentText"/>
      </w:pPr>
      <w:r>
        <w:rPr>
          <w:rStyle w:val="CommentReference"/>
        </w:rPr>
        <w:annotationRef/>
      </w:r>
      <w:r w:rsidRPr="0A76FFE4">
        <w:t>Where are these. You need to link these to para 19 AND 20. Para 20 also refers to a EIA where is that here?</w:t>
      </w:r>
    </w:p>
  </w:comment>
  <w:comment w:id="1" w:author="JONES Jason" w:date="2024-10-18T15:19:00Z" w:initials="JJ">
    <w:p w14:paraId="39E9C486" w14:textId="78F81C00" w:rsidR="00CE4A0A" w:rsidRDefault="00CE4A0A">
      <w:pPr>
        <w:pStyle w:val="CommentText"/>
      </w:pPr>
      <w:r>
        <w:rPr>
          <w:rStyle w:val="CommentReference"/>
        </w:rPr>
        <w:annotationRef/>
      </w:r>
      <w:r w:rsidRPr="25D7645A">
        <w:t>These are yet to be updated, but will follow shortly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10748" w15:done="1"/>
  <w15:commentEx w15:paraId="39E9C486" w15:paraIdParent="67D107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17F6E2" w16cex:dateUtc="2024-10-18T13:48:00Z"/>
  <w16cex:commentExtensible w16cex:durableId="30CE2D9D" w16cex:dateUtc="2024-10-1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10748" w16cid:durableId="1C17F6E2"/>
  <w16cid:commentId w16cid:paraId="39E9C486" w16cid:durableId="30CE2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D50C" w14:textId="77777777" w:rsidR="006A0525" w:rsidRDefault="006A0525" w:rsidP="004A6D2F">
      <w:r>
        <w:separator/>
      </w:r>
    </w:p>
  </w:endnote>
  <w:endnote w:type="continuationSeparator" w:id="0">
    <w:p w14:paraId="41B0AA1F" w14:textId="77777777" w:rsidR="006A0525" w:rsidRDefault="006A0525" w:rsidP="004A6D2F">
      <w:r>
        <w:continuationSeparator/>
      </w:r>
    </w:p>
  </w:endnote>
  <w:endnote w:type="continuationNotice" w:id="1">
    <w:p w14:paraId="62CD7979" w14:textId="77777777" w:rsidR="006A0525" w:rsidRDefault="006A0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9C5" w14:textId="77777777" w:rsidR="00364FAD" w:rsidRDefault="00364FAD" w:rsidP="004A6D2F">
    <w:pPr>
      <w:pStyle w:val="Footer"/>
    </w:pPr>
    <w:r>
      <w:t>Do not use a footer or page numbers.</w:t>
    </w:r>
  </w:p>
  <w:p w14:paraId="54F8515F" w14:textId="77777777" w:rsidR="00364FAD" w:rsidRDefault="00364FAD" w:rsidP="004A6D2F">
    <w:pPr>
      <w:pStyle w:val="Footer"/>
    </w:pPr>
  </w:p>
  <w:p w14:paraId="55569C4D"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A6CB" w14:textId="1CBB4D7E" w:rsidR="004B11AE" w:rsidRDefault="00DE5BB6" w:rsidP="004B11AE">
    <w:pPr>
      <w:pStyle w:val="Footer"/>
      <w:rPr>
        <w:sz w:val="16"/>
        <w:szCs w:val="16"/>
      </w:rPr>
    </w:pPr>
    <w:r>
      <w:rPr>
        <w:sz w:val="16"/>
        <w:szCs w:val="16"/>
      </w:rPr>
      <w:t>16 October 2024</w:t>
    </w:r>
  </w:p>
  <w:p w14:paraId="11A782F4"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4D62" w14:textId="77777777" w:rsidR="006A0525" w:rsidRDefault="006A0525" w:rsidP="004A6D2F">
      <w:r>
        <w:separator/>
      </w:r>
    </w:p>
  </w:footnote>
  <w:footnote w:type="continuationSeparator" w:id="0">
    <w:p w14:paraId="66F1A06D" w14:textId="77777777" w:rsidR="006A0525" w:rsidRDefault="006A0525" w:rsidP="004A6D2F">
      <w:r>
        <w:continuationSeparator/>
      </w:r>
    </w:p>
  </w:footnote>
  <w:footnote w:type="continuationNotice" w:id="1">
    <w:p w14:paraId="65A43284" w14:textId="77777777" w:rsidR="006A0525" w:rsidRDefault="006A05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DE20" w14:textId="77777777" w:rsidR="00D5547E" w:rsidRDefault="00C05260" w:rsidP="00D5547E">
    <w:pPr>
      <w:pStyle w:val="Header"/>
      <w:jc w:val="right"/>
    </w:pPr>
    <w:r>
      <w:rPr>
        <w:noProof/>
      </w:rPr>
      <w:drawing>
        <wp:inline distT="0" distB="0" distL="0" distR="0" wp14:anchorId="6A34C083" wp14:editId="04CA623F">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54E6690"/>
    <w:multiLevelType w:val="hybridMultilevel"/>
    <w:tmpl w:val="D1D20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A20B8"/>
    <w:multiLevelType w:val="hybridMultilevel"/>
    <w:tmpl w:val="083643DE"/>
    <w:lvl w:ilvl="0" w:tplc="7B4A2E98">
      <w:start w:val="1"/>
      <w:numFmt w:val="decimal"/>
      <w:lvlText w:val="%1."/>
      <w:lvlJc w:val="left"/>
      <w:pPr>
        <w:ind w:left="720" w:hanging="72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375F2"/>
    <w:multiLevelType w:val="hybridMultilevel"/>
    <w:tmpl w:val="E6CCAB8E"/>
    <w:lvl w:ilvl="0" w:tplc="FFFFFFFF">
      <w:start w:val="3"/>
      <w:numFmt w:val="decimal"/>
      <w:lvlText w:val="%1."/>
      <w:lvlJc w:val="left"/>
      <w:pPr>
        <w:ind w:left="720" w:hanging="720"/>
      </w:pPr>
      <w:rPr>
        <w:b w:val="0"/>
        <w:bCs/>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B7BA9"/>
    <w:multiLevelType w:val="hybridMultilevel"/>
    <w:tmpl w:val="1C5AF0AE"/>
    <w:lvl w:ilvl="0" w:tplc="F24A940C">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D11B5"/>
    <w:multiLevelType w:val="hybridMultilevel"/>
    <w:tmpl w:val="02B41C22"/>
    <w:lvl w:ilvl="0" w:tplc="B1045F22">
      <w:start w:val="7"/>
      <w:numFmt w:val="decimal"/>
      <w:lvlText w:val="%1."/>
      <w:lvlJc w:val="left"/>
      <w:pPr>
        <w:ind w:left="720" w:hanging="720"/>
      </w:pPr>
      <w:rPr>
        <w:rFonts w:hint="default"/>
        <w:b w:val="0"/>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BA5FD8"/>
    <w:multiLevelType w:val="multilevel"/>
    <w:tmpl w:val="43D6D2FA"/>
    <w:numStyleLink w:val="StyleBulletedSymbolsymbolLeft063cmHanging063cm"/>
  </w:abstractNum>
  <w:abstractNum w:abstractNumId="32"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22831"/>
    <w:multiLevelType w:val="multilevel"/>
    <w:tmpl w:val="43D6D2FA"/>
    <w:numStyleLink w:val="StyleBulletedSymbolsymbolLeft063cmHanging063cm"/>
  </w:abstractNum>
  <w:abstractNum w:abstractNumId="34"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E42DA"/>
    <w:multiLevelType w:val="hybridMultilevel"/>
    <w:tmpl w:val="CD805AEE"/>
    <w:lvl w:ilvl="0" w:tplc="9F6C9410">
      <w:start w:val="19"/>
      <w:numFmt w:val="decimal"/>
      <w:lvlText w:val="%1."/>
      <w:lvlJc w:val="left"/>
      <w:pPr>
        <w:ind w:left="720" w:hanging="720"/>
      </w:pPr>
      <w:rPr>
        <w:rFonts w:hint="default"/>
        <w:b w:val="0"/>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8365C6"/>
    <w:multiLevelType w:val="multilevel"/>
    <w:tmpl w:val="3AE25254"/>
    <w:lvl w:ilvl="0">
      <w:start w:val="8"/>
      <w:numFmt w:val="decimal"/>
      <w:pStyle w:val="ListParagraph"/>
      <w:lvlText w:val="%1."/>
      <w:lvlJc w:val="left"/>
      <w:pPr>
        <w:ind w:left="360" w:hanging="360"/>
      </w:pPr>
      <w:rPr>
        <w:rFonts w:ascii="Arial" w:hAnsi="Arial" w:hint="default"/>
        <w:b w:val="0"/>
        <w:bCs w:val="0"/>
        <w:strike w:val="0"/>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1A0084"/>
    <w:multiLevelType w:val="hybridMultilevel"/>
    <w:tmpl w:val="A546F6FE"/>
    <w:lvl w:ilvl="0" w:tplc="BEC29A44">
      <w:start w:val="35"/>
      <w:numFmt w:val="decimal"/>
      <w:lvlText w:val="%1."/>
      <w:lvlJc w:val="left"/>
      <w:pPr>
        <w:ind w:left="360" w:hanging="360"/>
      </w:pPr>
      <w:rPr>
        <w:rFonts w:hint="default"/>
      </w:rPr>
    </w:lvl>
    <w:lvl w:ilvl="1" w:tplc="D1183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AA24EE"/>
    <w:multiLevelType w:val="hybridMultilevel"/>
    <w:tmpl w:val="FFFFFFFF"/>
    <w:lvl w:ilvl="0" w:tplc="65D86BA0">
      <w:start w:val="3"/>
      <w:numFmt w:val="decimal"/>
      <w:lvlText w:val="%1."/>
      <w:lvlJc w:val="left"/>
      <w:pPr>
        <w:ind w:left="720" w:hanging="720"/>
      </w:pPr>
    </w:lvl>
    <w:lvl w:ilvl="1" w:tplc="4F98CA86">
      <w:start w:val="1"/>
      <w:numFmt w:val="lowerLetter"/>
      <w:lvlText w:val="%2."/>
      <w:lvlJc w:val="left"/>
      <w:pPr>
        <w:ind w:left="1800" w:hanging="360"/>
      </w:pPr>
    </w:lvl>
    <w:lvl w:ilvl="2" w:tplc="2D1E59C2">
      <w:start w:val="1"/>
      <w:numFmt w:val="lowerRoman"/>
      <w:lvlText w:val="%3."/>
      <w:lvlJc w:val="right"/>
      <w:pPr>
        <w:ind w:left="2520" w:hanging="180"/>
      </w:pPr>
    </w:lvl>
    <w:lvl w:ilvl="3" w:tplc="DF705A5E">
      <w:start w:val="1"/>
      <w:numFmt w:val="decimal"/>
      <w:lvlText w:val="%4."/>
      <w:lvlJc w:val="left"/>
      <w:pPr>
        <w:ind w:left="3240" w:hanging="360"/>
      </w:pPr>
    </w:lvl>
    <w:lvl w:ilvl="4" w:tplc="52FE6670">
      <w:start w:val="1"/>
      <w:numFmt w:val="lowerLetter"/>
      <w:lvlText w:val="%5."/>
      <w:lvlJc w:val="left"/>
      <w:pPr>
        <w:ind w:left="3960" w:hanging="360"/>
      </w:pPr>
    </w:lvl>
    <w:lvl w:ilvl="5" w:tplc="5DC4B2D4">
      <w:start w:val="1"/>
      <w:numFmt w:val="lowerRoman"/>
      <w:lvlText w:val="%6."/>
      <w:lvlJc w:val="right"/>
      <w:pPr>
        <w:ind w:left="4680" w:hanging="180"/>
      </w:pPr>
    </w:lvl>
    <w:lvl w:ilvl="6" w:tplc="E02EE396">
      <w:start w:val="1"/>
      <w:numFmt w:val="decimal"/>
      <w:lvlText w:val="%7."/>
      <w:lvlJc w:val="left"/>
      <w:pPr>
        <w:ind w:left="5400" w:hanging="360"/>
      </w:pPr>
    </w:lvl>
    <w:lvl w:ilvl="7" w:tplc="993AD132">
      <w:start w:val="1"/>
      <w:numFmt w:val="lowerLetter"/>
      <w:lvlText w:val="%8."/>
      <w:lvlJc w:val="left"/>
      <w:pPr>
        <w:ind w:left="6120" w:hanging="360"/>
      </w:pPr>
    </w:lvl>
    <w:lvl w:ilvl="8" w:tplc="1BE6BDA4">
      <w:start w:val="1"/>
      <w:numFmt w:val="lowerRoman"/>
      <w:lvlText w:val="%9."/>
      <w:lvlJc w:val="right"/>
      <w:pPr>
        <w:ind w:left="6840" w:hanging="180"/>
      </w:pPr>
    </w:lvl>
  </w:abstractNum>
  <w:num w:numId="1" w16cid:durableId="550118714">
    <w:abstractNumId w:val="40"/>
  </w:num>
  <w:num w:numId="2" w16cid:durableId="1511748697">
    <w:abstractNumId w:val="30"/>
  </w:num>
  <w:num w:numId="3" w16cid:durableId="1204441501">
    <w:abstractNumId w:val="35"/>
  </w:num>
  <w:num w:numId="4" w16cid:durableId="276759306">
    <w:abstractNumId w:val="26"/>
  </w:num>
  <w:num w:numId="5" w16cid:durableId="1312097219">
    <w:abstractNumId w:val="19"/>
  </w:num>
  <w:num w:numId="6" w16cid:durableId="249432420">
    <w:abstractNumId w:val="32"/>
  </w:num>
  <w:num w:numId="7" w16cid:durableId="2131969841">
    <w:abstractNumId w:val="36"/>
  </w:num>
  <w:num w:numId="8" w16cid:durableId="106388037">
    <w:abstractNumId w:val="25"/>
  </w:num>
  <w:num w:numId="9" w16cid:durableId="1954366111">
    <w:abstractNumId w:val="23"/>
  </w:num>
  <w:num w:numId="10" w16cid:durableId="594703719">
    <w:abstractNumId w:val="13"/>
  </w:num>
  <w:num w:numId="11" w16cid:durableId="1762291530">
    <w:abstractNumId w:val="15"/>
  </w:num>
  <w:num w:numId="12" w16cid:durableId="1478112262">
    <w:abstractNumId w:val="28"/>
  </w:num>
  <w:num w:numId="13" w16cid:durableId="942346322">
    <w:abstractNumId w:val="27"/>
  </w:num>
  <w:num w:numId="14" w16cid:durableId="1857425190">
    <w:abstractNumId w:val="10"/>
  </w:num>
  <w:num w:numId="15" w16cid:durableId="806433684">
    <w:abstractNumId w:val="38"/>
  </w:num>
  <w:num w:numId="16" w16cid:durableId="276376540">
    <w:abstractNumId w:val="16"/>
  </w:num>
  <w:num w:numId="17" w16cid:durableId="916286304">
    <w:abstractNumId w:val="11"/>
  </w:num>
  <w:num w:numId="18" w16cid:durableId="502820960">
    <w:abstractNumId w:val="31"/>
  </w:num>
  <w:num w:numId="19" w16cid:durableId="1142190405">
    <w:abstractNumId w:val="12"/>
  </w:num>
  <w:num w:numId="20" w16cid:durableId="1729182206">
    <w:abstractNumId w:val="33"/>
  </w:num>
  <w:num w:numId="21" w16cid:durableId="431096937">
    <w:abstractNumId w:val="17"/>
  </w:num>
  <w:num w:numId="22" w16cid:durableId="1327704056">
    <w:abstractNumId w:val="24"/>
  </w:num>
  <w:num w:numId="23" w16cid:durableId="1999571762">
    <w:abstractNumId w:val="14"/>
  </w:num>
  <w:num w:numId="24" w16cid:durableId="1790397126">
    <w:abstractNumId w:val="34"/>
  </w:num>
  <w:num w:numId="25" w16cid:durableId="1917593290">
    <w:abstractNumId w:val="9"/>
  </w:num>
  <w:num w:numId="26" w16cid:durableId="1280141880">
    <w:abstractNumId w:val="8"/>
  </w:num>
  <w:num w:numId="27" w16cid:durableId="890045426">
    <w:abstractNumId w:val="7"/>
  </w:num>
  <w:num w:numId="28" w16cid:durableId="1955214145">
    <w:abstractNumId w:val="6"/>
  </w:num>
  <w:num w:numId="29" w16cid:durableId="541020776">
    <w:abstractNumId w:val="5"/>
  </w:num>
  <w:num w:numId="30" w16cid:durableId="1740907086">
    <w:abstractNumId w:val="4"/>
  </w:num>
  <w:num w:numId="31" w16cid:durableId="749541170">
    <w:abstractNumId w:val="3"/>
  </w:num>
  <w:num w:numId="32" w16cid:durableId="770858318">
    <w:abstractNumId w:val="2"/>
  </w:num>
  <w:num w:numId="33" w16cid:durableId="339354296">
    <w:abstractNumId w:val="1"/>
  </w:num>
  <w:num w:numId="34" w16cid:durableId="1527136239">
    <w:abstractNumId w:val="0"/>
  </w:num>
  <w:num w:numId="35" w16cid:durableId="1183864190">
    <w:abstractNumId w:val="20"/>
  </w:num>
  <w:num w:numId="36" w16cid:durableId="1516768859">
    <w:abstractNumId w:val="18"/>
  </w:num>
  <w:num w:numId="37" w16cid:durableId="726342192">
    <w:abstractNumId w:val="39"/>
  </w:num>
  <w:num w:numId="38" w16cid:durableId="1285768769">
    <w:abstractNumId w:val="22"/>
  </w:num>
  <w:num w:numId="39" w16cid:durableId="253394293">
    <w:abstractNumId w:val="21"/>
  </w:num>
  <w:num w:numId="40" w16cid:durableId="92214832">
    <w:abstractNumId w:val="29"/>
  </w:num>
  <w:num w:numId="41" w16cid:durableId="673726275">
    <w:abstractNumId w:val="38"/>
  </w:num>
  <w:num w:numId="42" w16cid:durableId="1655912017">
    <w:abstractNumId w:val="37"/>
  </w:num>
  <w:num w:numId="43" w16cid:durableId="196307449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DY Nigel">
    <w15:presenceInfo w15:providerId="AD" w15:userId="S::nkennedy@oxford.gov.uk::a8126906-c722-4042-abe1-8ffc3c4985cd"/>
  </w15:person>
  <w15:person w15:author="JONES Jason">
    <w15:presenceInfo w15:providerId="AD" w15:userId="S::jajones@oxford.gov.uk::b9bc19db-1cdd-4c80-8cf4-339430eac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1058"/>
    <w:rsid w:val="00003942"/>
    <w:rsid w:val="00005FE6"/>
    <w:rsid w:val="000117D4"/>
    <w:rsid w:val="00013F68"/>
    <w:rsid w:val="00020B07"/>
    <w:rsid w:val="0002182D"/>
    <w:rsid w:val="000268E7"/>
    <w:rsid w:val="000314D7"/>
    <w:rsid w:val="00031545"/>
    <w:rsid w:val="00034054"/>
    <w:rsid w:val="00036A5D"/>
    <w:rsid w:val="000418ED"/>
    <w:rsid w:val="00041A0B"/>
    <w:rsid w:val="000441C1"/>
    <w:rsid w:val="00045706"/>
    <w:rsid w:val="000457EB"/>
    <w:rsid w:val="00045F8B"/>
    <w:rsid w:val="00046D2B"/>
    <w:rsid w:val="00047293"/>
    <w:rsid w:val="000529C9"/>
    <w:rsid w:val="0005320C"/>
    <w:rsid w:val="00054E12"/>
    <w:rsid w:val="000552B8"/>
    <w:rsid w:val="00056263"/>
    <w:rsid w:val="00056BF1"/>
    <w:rsid w:val="0005722A"/>
    <w:rsid w:val="0006499F"/>
    <w:rsid w:val="000649D0"/>
    <w:rsid w:val="00064D8A"/>
    <w:rsid w:val="00064F82"/>
    <w:rsid w:val="00066510"/>
    <w:rsid w:val="000677CA"/>
    <w:rsid w:val="00077523"/>
    <w:rsid w:val="000809CC"/>
    <w:rsid w:val="000B1B76"/>
    <w:rsid w:val="000B1DFC"/>
    <w:rsid w:val="000B3A73"/>
    <w:rsid w:val="000B52BB"/>
    <w:rsid w:val="000C089F"/>
    <w:rsid w:val="000C265F"/>
    <w:rsid w:val="000C3928"/>
    <w:rsid w:val="000C5E8E"/>
    <w:rsid w:val="000C702A"/>
    <w:rsid w:val="000D4972"/>
    <w:rsid w:val="000E0307"/>
    <w:rsid w:val="000E4D92"/>
    <w:rsid w:val="000E4ED3"/>
    <w:rsid w:val="000E674B"/>
    <w:rsid w:val="000F4099"/>
    <w:rsid w:val="000F4751"/>
    <w:rsid w:val="00100702"/>
    <w:rsid w:val="00101A18"/>
    <w:rsid w:val="001028A8"/>
    <w:rsid w:val="00103C5A"/>
    <w:rsid w:val="0010524C"/>
    <w:rsid w:val="00111FB1"/>
    <w:rsid w:val="00113418"/>
    <w:rsid w:val="00121491"/>
    <w:rsid w:val="00121CDE"/>
    <w:rsid w:val="001308DF"/>
    <w:rsid w:val="00133EC6"/>
    <w:rsid w:val="0013438A"/>
    <w:rsid w:val="001356F1"/>
    <w:rsid w:val="001360FC"/>
    <w:rsid w:val="00136994"/>
    <w:rsid w:val="0014128E"/>
    <w:rsid w:val="00141C32"/>
    <w:rsid w:val="00141CF7"/>
    <w:rsid w:val="00143638"/>
    <w:rsid w:val="00151888"/>
    <w:rsid w:val="001622EB"/>
    <w:rsid w:val="00170A2D"/>
    <w:rsid w:val="00177092"/>
    <w:rsid w:val="001808BC"/>
    <w:rsid w:val="00182B81"/>
    <w:rsid w:val="0018312A"/>
    <w:rsid w:val="00184DA9"/>
    <w:rsid w:val="0018619D"/>
    <w:rsid w:val="00191C1C"/>
    <w:rsid w:val="00195388"/>
    <w:rsid w:val="001A011E"/>
    <w:rsid w:val="001A066A"/>
    <w:rsid w:val="001A13E6"/>
    <w:rsid w:val="001A526D"/>
    <w:rsid w:val="001A5731"/>
    <w:rsid w:val="001A5D77"/>
    <w:rsid w:val="001A6D73"/>
    <w:rsid w:val="001A7DE0"/>
    <w:rsid w:val="001B08F0"/>
    <w:rsid w:val="001B42C3"/>
    <w:rsid w:val="001B507C"/>
    <w:rsid w:val="001C0A1E"/>
    <w:rsid w:val="001C2B4F"/>
    <w:rsid w:val="001C5D5E"/>
    <w:rsid w:val="001C73ED"/>
    <w:rsid w:val="001D3DFA"/>
    <w:rsid w:val="001D678D"/>
    <w:rsid w:val="001E03F8"/>
    <w:rsid w:val="001E1678"/>
    <w:rsid w:val="001E3376"/>
    <w:rsid w:val="00200664"/>
    <w:rsid w:val="00202CEE"/>
    <w:rsid w:val="0020560B"/>
    <w:rsid w:val="002069B3"/>
    <w:rsid w:val="00207632"/>
    <w:rsid w:val="0021008B"/>
    <w:rsid w:val="00213EAB"/>
    <w:rsid w:val="00214CF2"/>
    <w:rsid w:val="00215443"/>
    <w:rsid w:val="00215A93"/>
    <w:rsid w:val="00216CE1"/>
    <w:rsid w:val="00217BE1"/>
    <w:rsid w:val="00217F96"/>
    <w:rsid w:val="002212E5"/>
    <w:rsid w:val="0022137D"/>
    <w:rsid w:val="002213DA"/>
    <w:rsid w:val="00224CB3"/>
    <w:rsid w:val="002260D5"/>
    <w:rsid w:val="0023297D"/>
    <w:rsid w:val="002329CF"/>
    <w:rsid w:val="00232F5B"/>
    <w:rsid w:val="00240E5A"/>
    <w:rsid w:val="002453E6"/>
    <w:rsid w:val="00247C29"/>
    <w:rsid w:val="00251F96"/>
    <w:rsid w:val="00255A9D"/>
    <w:rsid w:val="00260467"/>
    <w:rsid w:val="00260B4A"/>
    <w:rsid w:val="00262794"/>
    <w:rsid w:val="0026394B"/>
    <w:rsid w:val="00263EA3"/>
    <w:rsid w:val="00264620"/>
    <w:rsid w:val="002714C1"/>
    <w:rsid w:val="0027627B"/>
    <w:rsid w:val="0028405C"/>
    <w:rsid w:val="00284C3B"/>
    <w:rsid w:val="00284E51"/>
    <w:rsid w:val="00284F85"/>
    <w:rsid w:val="00285FC8"/>
    <w:rsid w:val="002870C3"/>
    <w:rsid w:val="00290915"/>
    <w:rsid w:val="00293B5C"/>
    <w:rsid w:val="002946C9"/>
    <w:rsid w:val="00294986"/>
    <w:rsid w:val="002960B9"/>
    <w:rsid w:val="00297285"/>
    <w:rsid w:val="002A0100"/>
    <w:rsid w:val="002A22E2"/>
    <w:rsid w:val="002A3383"/>
    <w:rsid w:val="002A4698"/>
    <w:rsid w:val="002A4A7C"/>
    <w:rsid w:val="002B0F68"/>
    <w:rsid w:val="002B1156"/>
    <w:rsid w:val="002B2354"/>
    <w:rsid w:val="002B6836"/>
    <w:rsid w:val="002B6BA7"/>
    <w:rsid w:val="002C049C"/>
    <w:rsid w:val="002C3D65"/>
    <w:rsid w:val="002C64F7"/>
    <w:rsid w:val="002D32C4"/>
    <w:rsid w:val="002E1873"/>
    <w:rsid w:val="002E782B"/>
    <w:rsid w:val="002E794F"/>
    <w:rsid w:val="002F3AA3"/>
    <w:rsid w:val="002F41F2"/>
    <w:rsid w:val="002F5787"/>
    <w:rsid w:val="002F5D82"/>
    <w:rsid w:val="00301BF3"/>
    <w:rsid w:val="00301C78"/>
    <w:rsid w:val="0030208D"/>
    <w:rsid w:val="00305EB6"/>
    <w:rsid w:val="003130E4"/>
    <w:rsid w:val="003132AB"/>
    <w:rsid w:val="00321D14"/>
    <w:rsid w:val="00323418"/>
    <w:rsid w:val="00332A15"/>
    <w:rsid w:val="003357BF"/>
    <w:rsid w:val="0034170C"/>
    <w:rsid w:val="00342F0C"/>
    <w:rsid w:val="00346A4F"/>
    <w:rsid w:val="003549B3"/>
    <w:rsid w:val="00362B81"/>
    <w:rsid w:val="003640C2"/>
    <w:rsid w:val="003641CF"/>
    <w:rsid w:val="00364FAD"/>
    <w:rsid w:val="003656F5"/>
    <w:rsid w:val="0036738F"/>
    <w:rsid w:val="0036759C"/>
    <w:rsid w:val="003677C4"/>
    <w:rsid w:val="00367AE5"/>
    <w:rsid w:val="00367D71"/>
    <w:rsid w:val="00374E8D"/>
    <w:rsid w:val="003763C3"/>
    <w:rsid w:val="0038150A"/>
    <w:rsid w:val="0038312C"/>
    <w:rsid w:val="003836FB"/>
    <w:rsid w:val="003912FA"/>
    <w:rsid w:val="00391790"/>
    <w:rsid w:val="0039405B"/>
    <w:rsid w:val="003A4615"/>
    <w:rsid w:val="003A7959"/>
    <w:rsid w:val="003B29CD"/>
    <w:rsid w:val="003B67BB"/>
    <w:rsid w:val="003B6C8A"/>
    <w:rsid w:val="003B6E75"/>
    <w:rsid w:val="003B7DA1"/>
    <w:rsid w:val="003C22FA"/>
    <w:rsid w:val="003C2CAA"/>
    <w:rsid w:val="003C4173"/>
    <w:rsid w:val="003D0379"/>
    <w:rsid w:val="003D05DC"/>
    <w:rsid w:val="003D0C33"/>
    <w:rsid w:val="003D1205"/>
    <w:rsid w:val="003D2574"/>
    <w:rsid w:val="003D3158"/>
    <w:rsid w:val="003D3CE5"/>
    <w:rsid w:val="003D49CB"/>
    <w:rsid w:val="003D4C59"/>
    <w:rsid w:val="003D7717"/>
    <w:rsid w:val="003E34B5"/>
    <w:rsid w:val="003E5BBF"/>
    <w:rsid w:val="003F0596"/>
    <w:rsid w:val="003F32BB"/>
    <w:rsid w:val="003F3CE2"/>
    <w:rsid w:val="003F4267"/>
    <w:rsid w:val="003F45E9"/>
    <w:rsid w:val="003F6476"/>
    <w:rsid w:val="003F6AF1"/>
    <w:rsid w:val="00403409"/>
    <w:rsid w:val="00403B5F"/>
    <w:rsid w:val="00404032"/>
    <w:rsid w:val="0040736F"/>
    <w:rsid w:val="00407501"/>
    <w:rsid w:val="00412C1F"/>
    <w:rsid w:val="00413486"/>
    <w:rsid w:val="0041630A"/>
    <w:rsid w:val="00421CB2"/>
    <w:rsid w:val="0042226F"/>
    <w:rsid w:val="00424C1C"/>
    <w:rsid w:val="004268B9"/>
    <w:rsid w:val="00433B96"/>
    <w:rsid w:val="004377EE"/>
    <w:rsid w:val="0044198D"/>
    <w:rsid w:val="00443FF0"/>
    <w:rsid w:val="004440F1"/>
    <w:rsid w:val="004456DD"/>
    <w:rsid w:val="00445DB1"/>
    <w:rsid w:val="00446CDF"/>
    <w:rsid w:val="00450D9D"/>
    <w:rsid w:val="00451EFA"/>
    <w:rsid w:val="004521B7"/>
    <w:rsid w:val="004548E0"/>
    <w:rsid w:val="0046147D"/>
    <w:rsid w:val="00462AB5"/>
    <w:rsid w:val="00462C2E"/>
    <w:rsid w:val="00462C6C"/>
    <w:rsid w:val="00463646"/>
    <w:rsid w:val="00464443"/>
    <w:rsid w:val="00464A21"/>
    <w:rsid w:val="00465A70"/>
    <w:rsid w:val="00465EAF"/>
    <w:rsid w:val="00472C40"/>
    <w:rsid w:val="00473867"/>
    <w:rsid w:val="004738C5"/>
    <w:rsid w:val="0047737B"/>
    <w:rsid w:val="004773E6"/>
    <w:rsid w:val="00482992"/>
    <w:rsid w:val="00482BCE"/>
    <w:rsid w:val="004878A3"/>
    <w:rsid w:val="004879A6"/>
    <w:rsid w:val="00487D6B"/>
    <w:rsid w:val="00491046"/>
    <w:rsid w:val="00496078"/>
    <w:rsid w:val="004A1ECF"/>
    <w:rsid w:val="004A2AC7"/>
    <w:rsid w:val="004A2FA8"/>
    <w:rsid w:val="004A3002"/>
    <w:rsid w:val="004A53F6"/>
    <w:rsid w:val="004A5759"/>
    <w:rsid w:val="004A6D2F"/>
    <w:rsid w:val="004A76B5"/>
    <w:rsid w:val="004B11AE"/>
    <w:rsid w:val="004B17D8"/>
    <w:rsid w:val="004B37C1"/>
    <w:rsid w:val="004B3831"/>
    <w:rsid w:val="004B39AB"/>
    <w:rsid w:val="004C1510"/>
    <w:rsid w:val="004C2887"/>
    <w:rsid w:val="004D1397"/>
    <w:rsid w:val="004D2626"/>
    <w:rsid w:val="004D6E26"/>
    <w:rsid w:val="004D77D3"/>
    <w:rsid w:val="004D7AEB"/>
    <w:rsid w:val="004E0A5A"/>
    <w:rsid w:val="004E1143"/>
    <w:rsid w:val="004E1217"/>
    <w:rsid w:val="004E1812"/>
    <w:rsid w:val="004E2959"/>
    <w:rsid w:val="004E582A"/>
    <w:rsid w:val="004F20EF"/>
    <w:rsid w:val="004F45BE"/>
    <w:rsid w:val="004F68EF"/>
    <w:rsid w:val="0050210B"/>
    <w:rsid w:val="0050321C"/>
    <w:rsid w:val="005043C2"/>
    <w:rsid w:val="005049AF"/>
    <w:rsid w:val="00507ECC"/>
    <w:rsid w:val="00510D77"/>
    <w:rsid w:val="005134CD"/>
    <w:rsid w:val="00516783"/>
    <w:rsid w:val="00516D81"/>
    <w:rsid w:val="00521322"/>
    <w:rsid w:val="00526583"/>
    <w:rsid w:val="00531A0B"/>
    <w:rsid w:val="005337D0"/>
    <w:rsid w:val="00536002"/>
    <w:rsid w:val="005373A7"/>
    <w:rsid w:val="005373C1"/>
    <w:rsid w:val="0054712D"/>
    <w:rsid w:val="00547EF6"/>
    <w:rsid w:val="005538C1"/>
    <w:rsid w:val="00554D00"/>
    <w:rsid w:val="005570B5"/>
    <w:rsid w:val="005626DC"/>
    <w:rsid w:val="00563CFA"/>
    <w:rsid w:val="00564EA5"/>
    <w:rsid w:val="00565EEE"/>
    <w:rsid w:val="00567E18"/>
    <w:rsid w:val="00575F5F"/>
    <w:rsid w:val="00577037"/>
    <w:rsid w:val="00580CED"/>
    <w:rsid w:val="00581805"/>
    <w:rsid w:val="00585F76"/>
    <w:rsid w:val="005915BE"/>
    <w:rsid w:val="00592DA6"/>
    <w:rsid w:val="005945F5"/>
    <w:rsid w:val="00596162"/>
    <w:rsid w:val="00596C98"/>
    <w:rsid w:val="005A1848"/>
    <w:rsid w:val="005A303D"/>
    <w:rsid w:val="005A34E4"/>
    <w:rsid w:val="005A6416"/>
    <w:rsid w:val="005A6610"/>
    <w:rsid w:val="005B0C8B"/>
    <w:rsid w:val="005B17F2"/>
    <w:rsid w:val="005B71E8"/>
    <w:rsid w:val="005B7FB0"/>
    <w:rsid w:val="005C10E9"/>
    <w:rsid w:val="005C35A5"/>
    <w:rsid w:val="005C577C"/>
    <w:rsid w:val="005D0621"/>
    <w:rsid w:val="005D12A5"/>
    <w:rsid w:val="005D1E27"/>
    <w:rsid w:val="005D2A3E"/>
    <w:rsid w:val="005E022E"/>
    <w:rsid w:val="005E36A0"/>
    <w:rsid w:val="005E3E53"/>
    <w:rsid w:val="005E5215"/>
    <w:rsid w:val="005E77EE"/>
    <w:rsid w:val="005F7BA7"/>
    <w:rsid w:val="005F7F7E"/>
    <w:rsid w:val="00604EFF"/>
    <w:rsid w:val="00611B53"/>
    <w:rsid w:val="00612E2A"/>
    <w:rsid w:val="00613760"/>
    <w:rsid w:val="00613BFB"/>
    <w:rsid w:val="00613FF4"/>
    <w:rsid w:val="00614693"/>
    <w:rsid w:val="00614E1D"/>
    <w:rsid w:val="006152B2"/>
    <w:rsid w:val="00615A0E"/>
    <w:rsid w:val="00615B84"/>
    <w:rsid w:val="006161D6"/>
    <w:rsid w:val="00623C2F"/>
    <w:rsid w:val="006254ED"/>
    <w:rsid w:val="00626225"/>
    <w:rsid w:val="00633578"/>
    <w:rsid w:val="00634C0D"/>
    <w:rsid w:val="00637068"/>
    <w:rsid w:val="00637D6F"/>
    <w:rsid w:val="006420CF"/>
    <w:rsid w:val="00643C5B"/>
    <w:rsid w:val="00644BC3"/>
    <w:rsid w:val="0064500D"/>
    <w:rsid w:val="006466D4"/>
    <w:rsid w:val="00650811"/>
    <w:rsid w:val="00651C89"/>
    <w:rsid w:val="00653E86"/>
    <w:rsid w:val="006540EA"/>
    <w:rsid w:val="00660836"/>
    <w:rsid w:val="00661D3E"/>
    <w:rsid w:val="00663125"/>
    <w:rsid w:val="00664B12"/>
    <w:rsid w:val="00672366"/>
    <w:rsid w:val="00672946"/>
    <w:rsid w:val="00673558"/>
    <w:rsid w:val="006829B7"/>
    <w:rsid w:val="006909F9"/>
    <w:rsid w:val="00692627"/>
    <w:rsid w:val="00694699"/>
    <w:rsid w:val="006954B0"/>
    <w:rsid w:val="0069683E"/>
    <w:rsid w:val="006969E7"/>
    <w:rsid w:val="006A0525"/>
    <w:rsid w:val="006A1E01"/>
    <w:rsid w:val="006A3643"/>
    <w:rsid w:val="006A3820"/>
    <w:rsid w:val="006A56A3"/>
    <w:rsid w:val="006B10C2"/>
    <w:rsid w:val="006C00AF"/>
    <w:rsid w:val="006C1E5C"/>
    <w:rsid w:val="006C2A29"/>
    <w:rsid w:val="006C3E4A"/>
    <w:rsid w:val="006C64CF"/>
    <w:rsid w:val="006C6EE2"/>
    <w:rsid w:val="006D07D2"/>
    <w:rsid w:val="006D17B1"/>
    <w:rsid w:val="006D32CB"/>
    <w:rsid w:val="006D4752"/>
    <w:rsid w:val="006D5BCF"/>
    <w:rsid w:val="006D67B0"/>
    <w:rsid w:val="006D708A"/>
    <w:rsid w:val="006D7335"/>
    <w:rsid w:val="006E14C1"/>
    <w:rsid w:val="006E5A3F"/>
    <w:rsid w:val="006F0292"/>
    <w:rsid w:val="006F27FA"/>
    <w:rsid w:val="006F3CAB"/>
    <w:rsid w:val="006F416B"/>
    <w:rsid w:val="006F519B"/>
    <w:rsid w:val="00705DA5"/>
    <w:rsid w:val="00713675"/>
    <w:rsid w:val="00715823"/>
    <w:rsid w:val="007222C5"/>
    <w:rsid w:val="00724370"/>
    <w:rsid w:val="007253EF"/>
    <w:rsid w:val="007265A7"/>
    <w:rsid w:val="007309B0"/>
    <w:rsid w:val="00730CCA"/>
    <w:rsid w:val="00732752"/>
    <w:rsid w:val="00737B93"/>
    <w:rsid w:val="0074307C"/>
    <w:rsid w:val="00745BF0"/>
    <w:rsid w:val="00751EA3"/>
    <w:rsid w:val="007553F3"/>
    <w:rsid w:val="00760402"/>
    <w:rsid w:val="007615FE"/>
    <w:rsid w:val="00763B5E"/>
    <w:rsid w:val="0076655C"/>
    <w:rsid w:val="007731A6"/>
    <w:rsid w:val="007742DC"/>
    <w:rsid w:val="00774864"/>
    <w:rsid w:val="00775C19"/>
    <w:rsid w:val="0078397E"/>
    <w:rsid w:val="0078449C"/>
    <w:rsid w:val="00791437"/>
    <w:rsid w:val="00793002"/>
    <w:rsid w:val="00794B8D"/>
    <w:rsid w:val="007A02C0"/>
    <w:rsid w:val="007A09E3"/>
    <w:rsid w:val="007A15DB"/>
    <w:rsid w:val="007A4262"/>
    <w:rsid w:val="007A6558"/>
    <w:rsid w:val="007B09AE"/>
    <w:rsid w:val="007B0C2C"/>
    <w:rsid w:val="007B216B"/>
    <w:rsid w:val="007B278E"/>
    <w:rsid w:val="007B3875"/>
    <w:rsid w:val="007B5CA2"/>
    <w:rsid w:val="007B717A"/>
    <w:rsid w:val="007C3C3D"/>
    <w:rsid w:val="007C5C23"/>
    <w:rsid w:val="007C663C"/>
    <w:rsid w:val="007C685D"/>
    <w:rsid w:val="007E2A26"/>
    <w:rsid w:val="007E5827"/>
    <w:rsid w:val="007E632F"/>
    <w:rsid w:val="007E7D09"/>
    <w:rsid w:val="007F2348"/>
    <w:rsid w:val="007F4757"/>
    <w:rsid w:val="007F4D48"/>
    <w:rsid w:val="00801CDA"/>
    <w:rsid w:val="00803F07"/>
    <w:rsid w:val="0080749A"/>
    <w:rsid w:val="00811C66"/>
    <w:rsid w:val="00812377"/>
    <w:rsid w:val="00812CC7"/>
    <w:rsid w:val="00816508"/>
    <w:rsid w:val="00820751"/>
    <w:rsid w:val="00821FB8"/>
    <w:rsid w:val="0082201A"/>
    <w:rsid w:val="008229C5"/>
    <w:rsid w:val="00822ACD"/>
    <w:rsid w:val="00822D5C"/>
    <w:rsid w:val="008327AB"/>
    <w:rsid w:val="00833BC2"/>
    <w:rsid w:val="00841760"/>
    <w:rsid w:val="0084413A"/>
    <w:rsid w:val="00844B4B"/>
    <w:rsid w:val="0084528F"/>
    <w:rsid w:val="00847F93"/>
    <w:rsid w:val="00850635"/>
    <w:rsid w:val="008524B2"/>
    <w:rsid w:val="00852D7B"/>
    <w:rsid w:val="00854EE8"/>
    <w:rsid w:val="00855C66"/>
    <w:rsid w:val="008564B9"/>
    <w:rsid w:val="00862006"/>
    <w:rsid w:val="00863145"/>
    <w:rsid w:val="00865AF6"/>
    <w:rsid w:val="00870801"/>
    <w:rsid w:val="00870A10"/>
    <w:rsid w:val="00871EE4"/>
    <w:rsid w:val="0087370E"/>
    <w:rsid w:val="00877054"/>
    <w:rsid w:val="00877AA1"/>
    <w:rsid w:val="0088318E"/>
    <w:rsid w:val="00884531"/>
    <w:rsid w:val="00885DB3"/>
    <w:rsid w:val="008877FE"/>
    <w:rsid w:val="00887936"/>
    <w:rsid w:val="008934A5"/>
    <w:rsid w:val="00893653"/>
    <w:rsid w:val="00893B96"/>
    <w:rsid w:val="008954DF"/>
    <w:rsid w:val="008A1323"/>
    <w:rsid w:val="008A286F"/>
    <w:rsid w:val="008A2DD1"/>
    <w:rsid w:val="008A434D"/>
    <w:rsid w:val="008A76BC"/>
    <w:rsid w:val="008B0EBE"/>
    <w:rsid w:val="008B264A"/>
    <w:rsid w:val="008B293F"/>
    <w:rsid w:val="008B4198"/>
    <w:rsid w:val="008B5AEC"/>
    <w:rsid w:val="008B71CF"/>
    <w:rsid w:val="008B7371"/>
    <w:rsid w:val="008D0492"/>
    <w:rsid w:val="008D126E"/>
    <w:rsid w:val="008D3DDB"/>
    <w:rsid w:val="008D6FEC"/>
    <w:rsid w:val="008D725A"/>
    <w:rsid w:val="008D7BD3"/>
    <w:rsid w:val="008E06B9"/>
    <w:rsid w:val="008E310A"/>
    <w:rsid w:val="008E3CFC"/>
    <w:rsid w:val="008E4C7F"/>
    <w:rsid w:val="008F2D4B"/>
    <w:rsid w:val="008F3B04"/>
    <w:rsid w:val="008F573F"/>
    <w:rsid w:val="008F72C0"/>
    <w:rsid w:val="008F7949"/>
    <w:rsid w:val="009034EC"/>
    <w:rsid w:val="00903730"/>
    <w:rsid w:val="00904FF8"/>
    <w:rsid w:val="00905BDD"/>
    <w:rsid w:val="009076B5"/>
    <w:rsid w:val="009108DB"/>
    <w:rsid w:val="00912CF5"/>
    <w:rsid w:val="0091637D"/>
    <w:rsid w:val="00926531"/>
    <w:rsid w:val="0093067A"/>
    <w:rsid w:val="009337AF"/>
    <w:rsid w:val="00934922"/>
    <w:rsid w:val="009361DD"/>
    <w:rsid w:val="00941C60"/>
    <w:rsid w:val="00941FD1"/>
    <w:rsid w:val="0094240B"/>
    <w:rsid w:val="00950824"/>
    <w:rsid w:val="009611DA"/>
    <w:rsid w:val="00962923"/>
    <w:rsid w:val="00963B60"/>
    <w:rsid w:val="00966D42"/>
    <w:rsid w:val="0096726B"/>
    <w:rsid w:val="00971689"/>
    <w:rsid w:val="0097170F"/>
    <w:rsid w:val="00973E90"/>
    <w:rsid w:val="00975B07"/>
    <w:rsid w:val="00975BF4"/>
    <w:rsid w:val="00976C86"/>
    <w:rsid w:val="00980B4A"/>
    <w:rsid w:val="00981366"/>
    <w:rsid w:val="00983F41"/>
    <w:rsid w:val="0098799B"/>
    <w:rsid w:val="00990A81"/>
    <w:rsid w:val="00991296"/>
    <w:rsid w:val="009917B4"/>
    <w:rsid w:val="009A3B8D"/>
    <w:rsid w:val="009A7236"/>
    <w:rsid w:val="009B087C"/>
    <w:rsid w:val="009B161C"/>
    <w:rsid w:val="009B3E8A"/>
    <w:rsid w:val="009B651E"/>
    <w:rsid w:val="009B69BC"/>
    <w:rsid w:val="009C4BEA"/>
    <w:rsid w:val="009D468A"/>
    <w:rsid w:val="009D6D3A"/>
    <w:rsid w:val="009D7332"/>
    <w:rsid w:val="009D7345"/>
    <w:rsid w:val="009D7DA3"/>
    <w:rsid w:val="009E3D0A"/>
    <w:rsid w:val="009E51FC"/>
    <w:rsid w:val="009E5427"/>
    <w:rsid w:val="009E6C39"/>
    <w:rsid w:val="009F19E8"/>
    <w:rsid w:val="009F1D28"/>
    <w:rsid w:val="009F2231"/>
    <w:rsid w:val="009F2391"/>
    <w:rsid w:val="009F2E2E"/>
    <w:rsid w:val="009F32DD"/>
    <w:rsid w:val="009F504D"/>
    <w:rsid w:val="009F7618"/>
    <w:rsid w:val="00A00F52"/>
    <w:rsid w:val="00A04D23"/>
    <w:rsid w:val="00A06766"/>
    <w:rsid w:val="00A06B80"/>
    <w:rsid w:val="00A13765"/>
    <w:rsid w:val="00A14F4D"/>
    <w:rsid w:val="00A21B12"/>
    <w:rsid w:val="00A23F80"/>
    <w:rsid w:val="00A268D2"/>
    <w:rsid w:val="00A31765"/>
    <w:rsid w:val="00A34714"/>
    <w:rsid w:val="00A3558D"/>
    <w:rsid w:val="00A36580"/>
    <w:rsid w:val="00A40003"/>
    <w:rsid w:val="00A4195C"/>
    <w:rsid w:val="00A445CF"/>
    <w:rsid w:val="00A44AF7"/>
    <w:rsid w:val="00A46E98"/>
    <w:rsid w:val="00A4711D"/>
    <w:rsid w:val="00A47E9F"/>
    <w:rsid w:val="00A51318"/>
    <w:rsid w:val="00A54CFA"/>
    <w:rsid w:val="00A56542"/>
    <w:rsid w:val="00A57C44"/>
    <w:rsid w:val="00A614AA"/>
    <w:rsid w:val="00A62ADA"/>
    <w:rsid w:val="00A6352B"/>
    <w:rsid w:val="00A66321"/>
    <w:rsid w:val="00A701B5"/>
    <w:rsid w:val="00A7122C"/>
    <w:rsid w:val="00A714BB"/>
    <w:rsid w:val="00A743E6"/>
    <w:rsid w:val="00A74A60"/>
    <w:rsid w:val="00A77147"/>
    <w:rsid w:val="00A81826"/>
    <w:rsid w:val="00A83252"/>
    <w:rsid w:val="00A92D8F"/>
    <w:rsid w:val="00A94C50"/>
    <w:rsid w:val="00A94DC8"/>
    <w:rsid w:val="00A95208"/>
    <w:rsid w:val="00A9705C"/>
    <w:rsid w:val="00AA26A8"/>
    <w:rsid w:val="00AA3E1F"/>
    <w:rsid w:val="00AA470A"/>
    <w:rsid w:val="00AB0B22"/>
    <w:rsid w:val="00AB1617"/>
    <w:rsid w:val="00AB1BBF"/>
    <w:rsid w:val="00AB21D2"/>
    <w:rsid w:val="00AB2988"/>
    <w:rsid w:val="00AB52C7"/>
    <w:rsid w:val="00AB57FD"/>
    <w:rsid w:val="00AB595C"/>
    <w:rsid w:val="00AB7999"/>
    <w:rsid w:val="00AC3B2D"/>
    <w:rsid w:val="00AC46D5"/>
    <w:rsid w:val="00AC5DA2"/>
    <w:rsid w:val="00AC761B"/>
    <w:rsid w:val="00AD3292"/>
    <w:rsid w:val="00AD3DFE"/>
    <w:rsid w:val="00AD4F19"/>
    <w:rsid w:val="00AD4F96"/>
    <w:rsid w:val="00AD5A73"/>
    <w:rsid w:val="00AE05B8"/>
    <w:rsid w:val="00AE1684"/>
    <w:rsid w:val="00AE4E30"/>
    <w:rsid w:val="00AE7AF0"/>
    <w:rsid w:val="00AF0B98"/>
    <w:rsid w:val="00AF3170"/>
    <w:rsid w:val="00AF3A00"/>
    <w:rsid w:val="00AF411E"/>
    <w:rsid w:val="00AF72CF"/>
    <w:rsid w:val="00B0145E"/>
    <w:rsid w:val="00B12DBD"/>
    <w:rsid w:val="00B21D69"/>
    <w:rsid w:val="00B222F3"/>
    <w:rsid w:val="00B26E39"/>
    <w:rsid w:val="00B403EE"/>
    <w:rsid w:val="00B44695"/>
    <w:rsid w:val="00B451EC"/>
    <w:rsid w:val="00B45FC5"/>
    <w:rsid w:val="00B500CA"/>
    <w:rsid w:val="00B50576"/>
    <w:rsid w:val="00B52C3A"/>
    <w:rsid w:val="00B52FD1"/>
    <w:rsid w:val="00B57A6F"/>
    <w:rsid w:val="00B600EE"/>
    <w:rsid w:val="00B6033E"/>
    <w:rsid w:val="00B61897"/>
    <w:rsid w:val="00B70BC2"/>
    <w:rsid w:val="00B72DEC"/>
    <w:rsid w:val="00B757B4"/>
    <w:rsid w:val="00B771D1"/>
    <w:rsid w:val="00B775C2"/>
    <w:rsid w:val="00B80988"/>
    <w:rsid w:val="00B829D2"/>
    <w:rsid w:val="00B86314"/>
    <w:rsid w:val="00B872B4"/>
    <w:rsid w:val="00B93355"/>
    <w:rsid w:val="00B96D78"/>
    <w:rsid w:val="00BA1C2E"/>
    <w:rsid w:val="00BAB62D"/>
    <w:rsid w:val="00BB153A"/>
    <w:rsid w:val="00BB1809"/>
    <w:rsid w:val="00BB2E29"/>
    <w:rsid w:val="00BB41C2"/>
    <w:rsid w:val="00BB7EA9"/>
    <w:rsid w:val="00BC0565"/>
    <w:rsid w:val="00BC1801"/>
    <w:rsid w:val="00BC1DC3"/>
    <w:rsid w:val="00BC200B"/>
    <w:rsid w:val="00BC4756"/>
    <w:rsid w:val="00BC69A4"/>
    <w:rsid w:val="00BD287F"/>
    <w:rsid w:val="00BE0680"/>
    <w:rsid w:val="00BE305F"/>
    <w:rsid w:val="00BE3EE5"/>
    <w:rsid w:val="00BE62D2"/>
    <w:rsid w:val="00BE650C"/>
    <w:rsid w:val="00BE7BA3"/>
    <w:rsid w:val="00BF02D1"/>
    <w:rsid w:val="00BF0750"/>
    <w:rsid w:val="00BF30BD"/>
    <w:rsid w:val="00BF4D13"/>
    <w:rsid w:val="00BF529C"/>
    <w:rsid w:val="00BF5682"/>
    <w:rsid w:val="00BF7B09"/>
    <w:rsid w:val="00C01544"/>
    <w:rsid w:val="00C01CEE"/>
    <w:rsid w:val="00C05260"/>
    <w:rsid w:val="00C076B9"/>
    <w:rsid w:val="00C115BC"/>
    <w:rsid w:val="00C20A95"/>
    <w:rsid w:val="00C2692F"/>
    <w:rsid w:val="00C315E1"/>
    <w:rsid w:val="00C3207C"/>
    <w:rsid w:val="00C34058"/>
    <w:rsid w:val="00C35FDB"/>
    <w:rsid w:val="00C3698D"/>
    <w:rsid w:val="00C400E1"/>
    <w:rsid w:val="00C41187"/>
    <w:rsid w:val="00C43440"/>
    <w:rsid w:val="00C448E4"/>
    <w:rsid w:val="00C453E9"/>
    <w:rsid w:val="00C47861"/>
    <w:rsid w:val="00C47F06"/>
    <w:rsid w:val="00C5297E"/>
    <w:rsid w:val="00C616AE"/>
    <w:rsid w:val="00C61C2F"/>
    <w:rsid w:val="00C63A7F"/>
    <w:rsid w:val="00C63C31"/>
    <w:rsid w:val="00C64C87"/>
    <w:rsid w:val="00C66983"/>
    <w:rsid w:val="00C705F3"/>
    <w:rsid w:val="00C727FB"/>
    <w:rsid w:val="00C750B3"/>
    <w:rsid w:val="00C757A0"/>
    <w:rsid w:val="00C76042"/>
    <w:rsid w:val="00C760DE"/>
    <w:rsid w:val="00C77BB5"/>
    <w:rsid w:val="00C81A54"/>
    <w:rsid w:val="00C82630"/>
    <w:rsid w:val="00C85B4E"/>
    <w:rsid w:val="00C900B8"/>
    <w:rsid w:val="00C907F7"/>
    <w:rsid w:val="00C97273"/>
    <w:rsid w:val="00CA0630"/>
    <w:rsid w:val="00CA2103"/>
    <w:rsid w:val="00CB21E8"/>
    <w:rsid w:val="00CB25CB"/>
    <w:rsid w:val="00CB2C9C"/>
    <w:rsid w:val="00CB6B99"/>
    <w:rsid w:val="00CD0DC8"/>
    <w:rsid w:val="00CD1D6F"/>
    <w:rsid w:val="00CD29AA"/>
    <w:rsid w:val="00CD6CFC"/>
    <w:rsid w:val="00CE3A1B"/>
    <w:rsid w:val="00CE4A0A"/>
    <w:rsid w:val="00CE4C87"/>
    <w:rsid w:val="00CE544A"/>
    <w:rsid w:val="00CF21E0"/>
    <w:rsid w:val="00CF2541"/>
    <w:rsid w:val="00CF25B1"/>
    <w:rsid w:val="00CF4E72"/>
    <w:rsid w:val="00CF57D3"/>
    <w:rsid w:val="00D01BF4"/>
    <w:rsid w:val="00D10729"/>
    <w:rsid w:val="00D11E1C"/>
    <w:rsid w:val="00D13239"/>
    <w:rsid w:val="00D135FD"/>
    <w:rsid w:val="00D13C5A"/>
    <w:rsid w:val="00D14B17"/>
    <w:rsid w:val="00D151F2"/>
    <w:rsid w:val="00D160B0"/>
    <w:rsid w:val="00D174F7"/>
    <w:rsid w:val="00D17F94"/>
    <w:rsid w:val="00D2070C"/>
    <w:rsid w:val="00D21B5B"/>
    <w:rsid w:val="00D21C2F"/>
    <w:rsid w:val="00D223FC"/>
    <w:rsid w:val="00D23D9B"/>
    <w:rsid w:val="00D26D1E"/>
    <w:rsid w:val="00D310E5"/>
    <w:rsid w:val="00D31E13"/>
    <w:rsid w:val="00D33501"/>
    <w:rsid w:val="00D33812"/>
    <w:rsid w:val="00D41298"/>
    <w:rsid w:val="00D474CF"/>
    <w:rsid w:val="00D50002"/>
    <w:rsid w:val="00D5547E"/>
    <w:rsid w:val="00D623AC"/>
    <w:rsid w:val="00D7218B"/>
    <w:rsid w:val="00D7602B"/>
    <w:rsid w:val="00D860E2"/>
    <w:rsid w:val="00D869A1"/>
    <w:rsid w:val="00D86D1F"/>
    <w:rsid w:val="00D90F5E"/>
    <w:rsid w:val="00D9200E"/>
    <w:rsid w:val="00DA19A1"/>
    <w:rsid w:val="00DA1A7F"/>
    <w:rsid w:val="00DA3833"/>
    <w:rsid w:val="00DA413F"/>
    <w:rsid w:val="00DA44CE"/>
    <w:rsid w:val="00DA4584"/>
    <w:rsid w:val="00DA4ACD"/>
    <w:rsid w:val="00DA4FAB"/>
    <w:rsid w:val="00DA614B"/>
    <w:rsid w:val="00DA6827"/>
    <w:rsid w:val="00DB03C2"/>
    <w:rsid w:val="00DB311D"/>
    <w:rsid w:val="00DB3A47"/>
    <w:rsid w:val="00DB7AD7"/>
    <w:rsid w:val="00DC0E9B"/>
    <w:rsid w:val="00DC0EFE"/>
    <w:rsid w:val="00DC3060"/>
    <w:rsid w:val="00DC5C4B"/>
    <w:rsid w:val="00DD1973"/>
    <w:rsid w:val="00DD1BE6"/>
    <w:rsid w:val="00DD6BFB"/>
    <w:rsid w:val="00DE05BE"/>
    <w:rsid w:val="00DE0FB2"/>
    <w:rsid w:val="00DE1D57"/>
    <w:rsid w:val="00DE5810"/>
    <w:rsid w:val="00DE5BB6"/>
    <w:rsid w:val="00DF093E"/>
    <w:rsid w:val="00DF18EF"/>
    <w:rsid w:val="00DF201B"/>
    <w:rsid w:val="00DF4C84"/>
    <w:rsid w:val="00DF74D1"/>
    <w:rsid w:val="00E01F42"/>
    <w:rsid w:val="00E11B6B"/>
    <w:rsid w:val="00E13F35"/>
    <w:rsid w:val="00E16436"/>
    <w:rsid w:val="00E16B3B"/>
    <w:rsid w:val="00E16E70"/>
    <w:rsid w:val="00E206D6"/>
    <w:rsid w:val="00E20787"/>
    <w:rsid w:val="00E2373C"/>
    <w:rsid w:val="00E2608F"/>
    <w:rsid w:val="00E3366E"/>
    <w:rsid w:val="00E33BA9"/>
    <w:rsid w:val="00E40EFF"/>
    <w:rsid w:val="00E41782"/>
    <w:rsid w:val="00E42A29"/>
    <w:rsid w:val="00E43A56"/>
    <w:rsid w:val="00E43B64"/>
    <w:rsid w:val="00E44189"/>
    <w:rsid w:val="00E47380"/>
    <w:rsid w:val="00E47955"/>
    <w:rsid w:val="00E52086"/>
    <w:rsid w:val="00E543A6"/>
    <w:rsid w:val="00E60479"/>
    <w:rsid w:val="00E61D73"/>
    <w:rsid w:val="00E6301C"/>
    <w:rsid w:val="00E63467"/>
    <w:rsid w:val="00E637E0"/>
    <w:rsid w:val="00E650A9"/>
    <w:rsid w:val="00E66726"/>
    <w:rsid w:val="00E668E4"/>
    <w:rsid w:val="00E70B7A"/>
    <w:rsid w:val="00E72693"/>
    <w:rsid w:val="00E73684"/>
    <w:rsid w:val="00E74D8C"/>
    <w:rsid w:val="00E77AB3"/>
    <w:rsid w:val="00E77DF7"/>
    <w:rsid w:val="00E818D6"/>
    <w:rsid w:val="00E84EAA"/>
    <w:rsid w:val="00E85BBB"/>
    <w:rsid w:val="00E875B1"/>
    <w:rsid w:val="00E87F7A"/>
    <w:rsid w:val="00E93C90"/>
    <w:rsid w:val="00E94B3E"/>
    <w:rsid w:val="00E96BD7"/>
    <w:rsid w:val="00EA0DB1"/>
    <w:rsid w:val="00EA0EE9"/>
    <w:rsid w:val="00EA3E8A"/>
    <w:rsid w:val="00EA42EB"/>
    <w:rsid w:val="00EA75CA"/>
    <w:rsid w:val="00EB0709"/>
    <w:rsid w:val="00EB14CC"/>
    <w:rsid w:val="00EB198E"/>
    <w:rsid w:val="00EB3BA5"/>
    <w:rsid w:val="00ED0352"/>
    <w:rsid w:val="00ED52CA"/>
    <w:rsid w:val="00ED5860"/>
    <w:rsid w:val="00ED6816"/>
    <w:rsid w:val="00EE35C9"/>
    <w:rsid w:val="00EE3FAB"/>
    <w:rsid w:val="00EF3765"/>
    <w:rsid w:val="00EF4691"/>
    <w:rsid w:val="00EF5F43"/>
    <w:rsid w:val="00EF73F0"/>
    <w:rsid w:val="00EF7CA2"/>
    <w:rsid w:val="00F00A62"/>
    <w:rsid w:val="00F020E3"/>
    <w:rsid w:val="00F05ECA"/>
    <w:rsid w:val="00F076F8"/>
    <w:rsid w:val="00F07C28"/>
    <w:rsid w:val="00F13C96"/>
    <w:rsid w:val="00F16B76"/>
    <w:rsid w:val="00F25D27"/>
    <w:rsid w:val="00F26E21"/>
    <w:rsid w:val="00F32921"/>
    <w:rsid w:val="00F34FB1"/>
    <w:rsid w:val="00F353D8"/>
    <w:rsid w:val="00F3566E"/>
    <w:rsid w:val="00F36AB0"/>
    <w:rsid w:val="00F375FB"/>
    <w:rsid w:val="00F41AC1"/>
    <w:rsid w:val="00F4367A"/>
    <w:rsid w:val="00F445B1"/>
    <w:rsid w:val="00F45CD4"/>
    <w:rsid w:val="00F50900"/>
    <w:rsid w:val="00F51E60"/>
    <w:rsid w:val="00F60A76"/>
    <w:rsid w:val="00F6214A"/>
    <w:rsid w:val="00F64173"/>
    <w:rsid w:val="00F64EFC"/>
    <w:rsid w:val="00F66DCA"/>
    <w:rsid w:val="00F67364"/>
    <w:rsid w:val="00F71338"/>
    <w:rsid w:val="00F728B5"/>
    <w:rsid w:val="00F7464D"/>
    <w:rsid w:val="00F74F53"/>
    <w:rsid w:val="00F75350"/>
    <w:rsid w:val="00F7606D"/>
    <w:rsid w:val="00F760BC"/>
    <w:rsid w:val="00F76F8F"/>
    <w:rsid w:val="00F77853"/>
    <w:rsid w:val="00F80501"/>
    <w:rsid w:val="00F81670"/>
    <w:rsid w:val="00F82024"/>
    <w:rsid w:val="00F83A83"/>
    <w:rsid w:val="00F865A3"/>
    <w:rsid w:val="00F876FF"/>
    <w:rsid w:val="00F912CA"/>
    <w:rsid w:val="00F95BC9"/>
    <w:rsid w:val="00F971BB"/>
    <w:rsid w:val="00FA624C"/>
    <w:rsid w:val="00FA7744"/>
    <w:rsid w:val="00FA7754"/>
    <w:rsid w:val="00FB37FB"/>
    <w:rsid w:val="00FB3B71"/>
    <w:rsid w:val="00FB4B79"/>
    <w:rsid w:val="00FB52BC"/>
    <w:rsid w:val="00FB686D"/>
    <w:rsid w:val="00FB69BD"/>
    <w:rsid w:val="00FB777D"/>
    <w:rsid w:val="00FB7E93"/>
    <w:rsid w:val="00FC3EB1"/>
    <w:rsid w:val="00FC79DE"/>
    <w:rsid w:val="00FD0F98"/>
    <w:rsid w:val="00FD0FAC"/>
    <w:rsid w:val="00FD1DFA"/>
    <w:rsid w:val="00FD3344"/>
    <w:rsid w:val="00FD4966"/>
    <w:rsid w:val="00FD5D61"/>
    <w:rsid w:val="00FE57DC"/>
    <w:rsid w:val="00FF095A"/>
    <w:rsid w:val="00FF1FE8"/>
    <w:rsid w:val="00FF5B53"/>
    <w:rsid w:val="00FF614F"/>
    <w:rsid w:val="00FF754B"/>
    <w:rsid w:val="061C9047"/>
    <w:rsid w:val="0649CA1D"/>
    <w:rsid w:val="0B365A31"/>
    <w:rsid w:val="0C350A5D"/>
    <w:rsid w:val="0E1693A0"/>
    <w:rsid w:val="1533D928"/>
    <w:rsid w:val="188B0DC4"/>
    <w:rsid w:val="1A4F0151"/>
    <w:rsid w:val="1D3F2DA0"/>
    <w:rsid w:val="1D94E853"/>
    <w:rsid w:val="20FFBF40"/>
    <w:rsid w:val="215579DD"/>
    <w:rsid w:val="23205965"/>
    <w:rsid w:val="24ED910F"/>
    <w:rsid w:val="27679B34"/>
    <w:rsid w:val="27E2F6E5"/>
    <w:rsid w:val="28BE77DF"/>
    <w:rsid w:val="2A3479EA"/>
    <w:rsid w:val="328A413D"/>
    <w:rsid w:val="3658C3BB"/>
    <w:rsid w:val="3B2660AD"/>
    <w:rsid w:val="3B94BEC3"/>
    <w:rsid w:val="3E8A62EC"/>
    <w:rsid w:val="3F9812B0"/>
    <w:rsid w:val="4EAB705D"/>
    <w:rsid w:val="50DF87E9"/>
    <w:rsid w:val="578DA11E"/>
    <w:rsid w:val="5875B306"/>
    <w:rsid w:val="5C19AAC8"/>
    <w:rsid w:val="5E0E21B3"/>
    <w:rsid w:val="5F4B8C97"/>
    <w:rsid w:val="5FB60A30"/>
    <w:rsid w:val="605DEDD2"/>
    <w:rsid w:val="62144342"/>
    <w:rsid w:val="6264B7DD"/>
    <w:rsid w:val="64B236CC"/>
    <w:rsid w:val="68B1396B"/>
    <w:rsid w:val="6A7EB0F8"/>
    <w:rsid w:val="6BA86EB6"/>
    <w:rsid w:val="6ECF05C6"/>
    <w:rsid w:val="70BA1742"/>
    <w:rsid w:val="72CCE67A"/>
    <w:rsid w:val="789E2282"/>
    <w:rsid w:val="79FC28C6"/>
    <w:rsid w:val="7C5025D7"/>
    <w:rsid w:val="7D967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92361"/>
  <w15:docId w15:val="{8938ED04-610B-4CF8-888C-4E4C137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41"/>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976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3C2"/>
    <w:rPr>
      <w:color w:val="605E5C"/>
      <w:shd w:val="clear" w:color="auto" w:fill="E1DFDD"/>
    </w:rPr>
  </w:style>
  <w:style w:type="character" w:styleId="Mention">
    <w:name w:val="Mention"/>
    <w:basedOn w:val="DefaultParagraphFont"/>
    <w:uiPriority w:val="99"/>
    <w:unhideWhenUsed/>
    <w:rsid w:val="00DF201B"/>
    <w:rPr>
      <w:color w:val="2B579A"/>
      <w:shd w:val="clear" w:color="auto" w:fill="E1DFDD"/>
    </w:rPr>
  </w:style>
  <w:style w:type="character" w:styleId="FollowedHyperlink">
    <w:name w:val="FollowedHyperlink"/>
    <w:basedOn w:val="DefaultParagraphFont"/>
    <w:semiHidden/>
    <w:unhideWhenUsed/>
    <w:rsid w:val="00463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65e741ce2f2b3b0ba97cd774/Limit_on_annual_rent_increases_2024-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gov.uk/government/publications/direction-on-the-rent-standard-from-1-april-2020/policy-statement-on-rents-for-social-housin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19D3ABB-5D43-47FE-8C9E-B182B2517AD5}">
    <t:Anchor>
      <t:Comment id="687203321"/>
    </t:Anchor>
    <t:History>
      <t:Event id="{FF8927CF-E4E3-4123-BF02-C4A32E11B305}" time="2023-11-14T10:58:03.13Z">
        <t:Attribution userId="S::nparry@oxford.gov.uk::2333eb87-4dd8-4e03-adfd-502b37cb80a9" userProvider="AD" userName="PARRY Nerys"/>
        <t:Anchor>
          <t:Comment id="1092502885"/>
        </t:Anchor>
        <t:Create/>
      </t:Event>
      <t:Event id="{7A64AF91-225D-4E1B-A8E6-248314B98004}" time="2023-11-14T10:58:03.13Z">
        <t:Attribution userId="S::nparry@oxford.gov.uk::2333eb87-4dd8-4e03-adfd-502b37cb80a9" userProvider="AD" userName="PARRY Nerys"/>
        <t:Anchor>
          <t:Comment id="1092502885"/>
        </t:Anchor>
        <t:Assign userId="S::jajones@oxford.gov.uk::b9bc19db-1cdd-4c80-8cf4-339430eac3de" userProvider="AD" userName="JONES Jason"/>
      </t:Event>
      <t:Event id="{749BB6B6-97C9-4E2E-A5DA-123AD56940E9}" time="2023-11-14T10:58:03.13Z">
        <t:Attribution userId="S::nparry@oxford.gov.uk::2333eb87-4dd8-4e03-adfd-502b37cb80a9" userProvider="AD" userName="PARRY Nerys"/>
        <t:Anchor>
          <t:Comment id="1092502885"/>
        </t:Anchor>
        <t:SetTitle title="@JONES Jason I would agree too .. and you can test it with Linda now on the 22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0D89DE0A63A4EB0DEBB1684DF8471" ma:contentTypeVersion="11" ma:contentTypeDescription="Create a new document." ma:contentTypeScope="" ma:versionID="212e29bf224b4c39d62b32705a8242ac">
  <xsd:schema xmlns:xsd="http://www.w3.org/2001/XMLSchema" xmlns:xs="http://www.w3.org/2001/XMLSchema" xmlns:p="http://schemas.microsoft.com/office/2006/metadata/properties" xmlns:ns3="21b2edab-272d-44d2-a3ee-af4f5d7ff358" xmlns:ns4="b755b92a-191d-4d69-a5e9-5a817e1c12a2" targetNamespace="http://schemas.microsoft.com/office/2006/metadata/properties" ma:root="true" ma:fieldsID="2ccec2af1563e109c3288f79c261e859" ns3:_="" ns4:_="">
    <xsd:import namespace="21b2edab-272d-44d2-a3ee-af4f5d7ff358"/>
    <xsd:import namespace="b755b92a-191d-4d69-a5e9-5a817e1c12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edab-272d-44d2-a3ee-af4f5d7ff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5b92a-191d-4d69-a5e9-5a817e1c12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1b2edab-272d-44d2-a3ee-af4f5d7ff358" xsi:nil="true"/>
  </documentManagement>
</p:properties>
</file>

<file path=customXml/itemProps1.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2.xml><?xml version="1.0" encoding="utf-8"?>
<ds:datastoreItem xmlns:ds="http://schemas.openxmlformats.org/officeDocument/2006/customXml" ds:itemID="{09D8E727-9E45-42B9-8B59-A74D6369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edab-272d-44d2-a3ee-af4f5d7ff358"/>
    <ds:schemaRef ds:uri="b755b92a-191d-4d69-a5e9-5a817e1c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21b2edab-272d-44d2-a3ee-af4f5d7ff358"/>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2054</Words>
  <Characters>10913</Characters>
  <Application>Microsoft Office Word</Application>
  <DocSecurity>0</DocSecurity>
  <Lines>90</Lines>
  <Paragraphs>25</Paragraphs>
  <ScaleCrop>false</ScaleCrop>
  <Company>Oxford City Council</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REYESLAO Celeste</cp:lastModifiedBy>
  <cp:revision>93</cp:revision>
  <cp:lastPrinted>2015-07-03T21:50:00Z</cp:lastPrinted>
  <dcterms:created xsi:type="dcterms:W3CDTF">2024-10-18T11:29:00Z</dcterms:created>
  <dcterms:modified xsi:type="dcterms:W3CDTF">2025-01-06T11:10:00Z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0x010100D580D89DE0A63A4EB0DEBB1684DF8471</vt:lpwstr>
  </property>
</Properties>
</file>